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b/>
          <w:sz w:val="36"/>
          <w:szCs w:val="36"/>
        </w:rPr>
      </w:pPr>
    </w:p>
    <w:p>
      <w:pPr>
        <w:rPr>
          <w:rFonts w:ascii="宋体" w:hAnsi="宋体"/>
          <w:b/>
          <w:bCs/>
          <w:spacing w:val="20"/>
          <w:kern w:val="0"/>
          <w:sz w:val="84"/>
          <w:szCs w:val="84"/>
        </w:rPr>
      </w:pPr>
      <w:r>
        <w:rPr>
          <w:rFonts w:hint="eastAsia" w:ascii="宋体" w:hAnsi="宋体"/>
          <w:b/>
          <w:sz w:val="36"/>
          <w:szCs w:val="36"/>
        </w:rPr>
        <w:t>文件编号: SXZC-ZB-2019033</w:t>
      </w:r>
    </w:p>
    <w:p>
      <w:pPr>
        <w:widowControl/>
        <w:spacing w:line="300" w:lineRule="atLeast"/>
        <w:jc w:val="center"/>
        <w:rPr>
          <w:rFonts w:ascii="宋体" w:hAnsi="宋体"/>
          <w:b/>
          <w:sz w:val="52"/>
          <w:szCs w:val="52"/>
        </w:rPr>
      </w:pPr>
    </w:p>
    <w:p>
      <w:pPr>
        <w:spacing w:line="360" w:lineRule="auto"/>
        <w:jc w:val="center"/>
        <w:rPr>
          <w:rFonts w:ascii="宋体" w:hAnsi="宋体"/>
          <w:b/>
          <w:sz w:val="32"/>
          <w:szCs w:val="32"/>
          <w:shd w:val="clear" w:color="auto" w:fill="FFFFFF"/>
        </w:rPr>
      </w:pPr>
      <w:r>
        <w:rPr>
          <w:rFonts w:hint="eastAsia" w:ascii="宋体" w:hAnsi="宋体"/>
          <w:b/>
          <w:sz w:val="52"/>
          <w:szCs w:val="52"/>
        </w:rPr>
        <w:t>陕西学前师范学院体质评价与运动干预实践教学创新平台建设项目</w:t>
      </w:r>
    </w:p>
    <w:p>
      <w:pPr>
        <w:spacing w:line="400" w:lineRule="exact"/>
        <w:jc w:val="center"/>
        <w:rPr>
          <w:rFonts w:ascii="宋体" w:hAnsi="宋体"/>
          <w:b/>
          <w:sz w:val="32"/>
          <w:szCs w:val="32"/>
          <w:shd w:val="clear" w:color="auto" w:fill="FFFFFF"/>
        </w:rPr>
      </w:pPr>
    </w:p>
    <w:p>
      <w:pPr>
        <w:pStyle w:val="2"/>
      </w:pPr>
    </w:p>
    <w:p>
      <w:pPr>
        <w:pStyle w:val="2"/>
      </w:pPr>
    </w:p>
    <w:p>
      <w:pPr>
        <w:pStyle w:val="2"/>
      </w:pPr>
    </w:p>
    <w:p>
      <w:pPr>
        <w:spacing w:line="400" w:lineRule="exact"/>
        <w:jc w:val="center"/>
        <w:rPr>
          <w:rFonts w:ascii="宋体" w:hAnsi="宋体"/>
          <w:b/>
          <w:sz w:val="32"/>
          <w:szCs w:val="32"/>
          <w:shd w:val="clear" w:color="auto" w:fill="FFFFFF"/>
        </w:rPr>
      </w:pPr>
    </w:p>
    <w:p>
      <w:pPr>
        <w:spacing w:line="400" w:lineRule="exact"/>
        <w:jc w:val="center"/>
        <w:rPr>
          <w:rFonts w:ascii="宋体" w:hAnsi="宋体"/>
          <w:b/>
          <w:sz w:val="32"/>
          <w:szCs w:val="32"/>
          <w:shd w:val="clear" w:color="auto" w:fill="FFFFFF"/>
        </w:rPr>
      </w:pPr>
    </w:p>
    <w:p>
      <w:pPr>
        <w:jc w:val="center"/>
        <w:rPr>
          <w:rFonts w:ascii="宋体" w:hAnsi="宋体"/>
          <w:b/>
          <w:sz w:val="72"/>
          <w:szCs w:val="72"/>
        </w:rPr>
      </w:pPr>
      <w:r>
        <w:rPr>
          <w:rFonts w:hint="eastAsia" w:ascii="宋体" w:hAnsi="宋体"/>
          <w:b/>
          <w:sz w:val="72"/>
          <w:szCs w:val="72"/>
        </w:rPr>
        <w:t>竞争性磋商文件</w:t>
      </w: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jc w:val="center"/>
        <w:rPr>
          <w:rFonts w:ascii="宋体" w:hAnsi="宋体"/>
          <w:b/>
          <w:sz w:val="36"/>
          <w:szCs w:val="36"/>
        </w:rPr>
      </w:pPr>
    </w:p>
    <w:p>
      <w:pPr>
        <w:tabs>
          <w:tab w:val="left" w:pos="2775"/>
        </w:tabs>
        <w:jc w:val="center"/>
        <w:rPr>
          <w:rFonts w:ascii="宋体" w:hAnsi="宋体"/>
          <w:b/>
          <w:sz w:val="32"/>
          <w:szCs w:val="32"/>
        </w:rPr>
      </w:pPr>
      <w:r>
        <w:rPr>
          <w:rFonts w:hint="eastAsia" w:ascii="宋体" w:hAnsi="宋体"/>
          <w:b/>
          <w:sz w:val="32"/>
          <w:szCs w:val="32"/>
        </w:rPr>
        <w:t>陕西中财招标代理有限公司</w:t>
      </w:r>
    </w:p>
    <w:p>
      <w:pPr>
        <w:tabs>
          <w:tab w:val="left" w:pos="2775"/>
        </w:tabs>
        <w:jc w:val="center"/>
        <w:rPr>
          <w:rFonts w:ascii="宋体" w:hAnsi="宋体"/>
          <w:b/>
          <w:sz w:val="32"/>
          <w:szCs w:val="32"/>
        </w:rPr>
      </w:pPr>
    </w:p>
    <w:p>
      <w:pPr>
        <w:tabs>
          <w:tab w:val="left" w:pos="2775"/>
        </w:tabs>
        <w:jc w:val="center"/>
        <w:rPr>
          <w:rFonts w:ascii="宋体" w:hAnsi="宋体"/>
        </w:rPr>
      </w:pPr>
      <w:r>
        <w:rPr>
          <w:rFonts w:hint="eastAsia" w:ascii="宋体" w:hAnsi="宋体"/>
          <w:b/>
          <w:sz w:val="32"/>
          <w:szCs w:val="32"/>
        </w:rPr>
        <w:t>二〇一九年五月</w:t>
      </w:r>
    </w:p>
    <w:p>
      <w:pPr>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828" w:bottom="1418" w:left="1218" w:header="851" w:footer="992" w:gutter="0"/>
          <w:cols w:space="720" w:num="1"/>
          <w:titlePg/>
          <w:docGrid w:linePitch="312" w:charSpace="0"/>
        </w:sectPr>
      </w:pPr>
    </w:p>
    <w:p>
      <w:pPr>
        <w:pStyle w:val="2"/>
      </w:pPr>
    </w:p>
    <w:p>
      <w:pPr>
        <w:pStyle w:val="15"/>
        <w:spacing w:before="0" w:line="500" w:lineRule="exact"/>
        <w:jc w:val="center"/>
        <w:rPr>
          <w:rFonts w:ascii="宋体" w:hAnsi="宋体"/>
          <w:color w:val="auto"/>
          <w:sz w:val="48"/>
          <w:szCs w:val="48"/>
          <w:lang w:val="zh-CN"/>
        </w:rPr>
      </w:pPr>
    </w:p>
    <w:p>
      <w:pPr>
        <w:pStyle w:val="15"/>
        <w:spacing w:before="0" w:line="500" w:lineRule="exact"/>
        <w:jc w:val="center"/>
        <w:rPr>
          <w:rFonts w:ascii="宋体" w:hAnsi="宋体"/>
          <w:color w:val="auto"/>
          <w:sz w:val="48"/>
          <w:szCs w:val="48"/>
          <w:lang w:val="zh-CN"/>
        </w:rPr>
      </w:pPr>
      <w:r>
        <w:rPr>
          <w:rFonts w:ascii="宋体" w:hAnsi="宋体"/>
          <w:color w:val="auto"/>
          <w:sz w:val="48"/>
          <w:szCs w:val="48"/>
          <w:lang w:val="zh-CN"/>
        </w:rPr>
        <w:t>目</w:t>
      </w:r>
      <w:r>
        <w:rPr>
          <w:rFonts w:hint="eastAsia" w:ascii="宋体" w:hAnsi="宋体"/>
          <w:color w:val="auto"/>
          <w:sz w:val="48"/>
          <w:szCs w:val="48"/>
          <w:lang w:val="zh-CN"/>
        </w:rPr>
        <w:t xml:space="preserve"> </w:t>
      </w:r>
      <w:r>
        <w:rPr>
          <w:rFonts w:ascii="宋体" w:hAnsi="宋体"/>
          <w:color w:val="auto"/>
          <w:sz w:val="48"/>
          <w:szCs w:val="48"/>
          <w:lang w:val="zh-CN"/>
        </w:rPr>
        <w:t>录</w:t>
      </w:r>
    </w:p>
    <w:p>
      <w:pPr>
        <w:rPr>
          <w:rFonts w:ascii="宋体" w:hAnsi="宋体"/>
          <w:lang w:val="zh-CN"/>
        </w:rPr>
      </w:pPr>
    </w:p>
    <w:p>
      <w:pPr>
        <w:pStyle w:val="9"/>
        <w:tabs>
          <w:tab w:val="right" w:leader="dot" w:pos="8998"/>
        </w:tabs>
        <w:spacing w:line="500" w:lineRule="exact"/>
        <w:rPr>
          <w:sz w:val="24"/>
          <w:szCs w:val="3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"_Toc1509" </w:instrText>
      </w:r>
      <w:r>
        <w:fldChar w:fldCharType="separate"/>
      </w:r>
      <w:r>
        <w:rPr>
          <w:rFonts w:hint="eastAsia"/>
          <w:sz w:val="24"/>
          <w:szCs w:val="32"/>
        </w:rPr>
        <w:t>第一章  竞争性磋商公告</w:t>
      </w:r>
      <w:r>
        <w:rPr>
          <w:sz w:val="24"/>
          <w:szCs w:val="32"/>
        </w:rPr>
        <w:tab/>
      </w:r>
      <w:r>
        <w:rPr>
          <w:sz w:val="24"/>
          <w:szCs w:val="32"/>
        </w:rPr>
        <w:fldChar w:fldCharType="begin"/>
      </w:r>
      <w:r>
        <w:rPr>
          <w:sz w:val="24"/>
          <w:szCs w:val="32"/>
        </w:rPr>
        <w:instrText xml:space="preserve"> PAGEREF _Toc1509 </w:instrText>
      </w:r>
      <w:r>
        <w:rPr>
          <w:sz w:val="24"/>
          <w:szCs w:val="32"/>
        </w:rPr>
        <w:fldChar w:fldCharType="separate"/>
      </w:r>
      <w:r>
        <w:rPr>
          <w:sz w:val="24"/>
          <w:szCs w:val="32"/>
        </w:rPr>
        <w:t>2</w:t>
      </w:r>
      <w:r>
        <w:rPr>
          <w:sz w:val="24"/>
          <w:szCs w:val="32"/>
        </w:rPr>
        <w:fldChar w:fldCharType="end"/>
      </w:r>
      <w:r>
        <w:rPr>
          <w:sz w:val="24"/>
          <w:szCs w:val="32"/>
        </w:rPr>
        <w:fldChar w:fldCharType="end"/>
      </w:r>
    </w:p>
    <w:p>
      <w:pPr>
        <w:pStyle w:val="9"/>
        <w:tabs>
          <w:tab w:val="right" w:leader="dot" w:pos="8998"/>
        </w:tabs>
        <w:spacing w:line="500" w:lineRule="exact"/>
        <w:rPr>
          <w:sz w:val="24"/>
          <w:szCs w:val="32"/>
        </w:rPr>
      </w:pPr>
      <w:r>
        <w:fldChar w:fldCharType="begin"/>
      </w:r>
      <w:r>
        <w:instrText xml:space="preserve"> HYPERLINK \l "_Toc20542" </w:instrText>
      </w:r>
      <w:r>
        <w:fldChar w:fldCharType="separate"/>
      </w:r>
      <w:r>
        <w:rPr>
          <w:rFonts w:hint="eastAsia"/>
          <w:sz w:val="24"/>
          <w:szCs w:val="32"/>
        </w:rPr>
        <w:t>第二章 供应商须知</w:t>
      </w:r>
      <w:r>
        <w:rPr>
          <w:sz w:val="24"/>
          <w:szCs w:val="32"/>
        </w:rPr>
        <w:tab/>
      </w:r>
      <w:r>
        <w:rPr>
          <w:sz w:val="24"/>
          <w:szCs w:val="32"/>
        </w:rPr>
        <w:fldChar w:fldCharType="begin"/>
      </w:r>
      <w:r>
        <w:rPr>
          <w:sz w:val="24"/>
          <w:szCs w:val="32"/>
        </w:rPr>
        <w:instrText xml:space="preserve"> PAGEREF _Toc20542 </w:instrText>
      </w:r>
      <w:r>
        <w:rPr>
          <w:sz w:val="24"/>
          <w:szCs w:val="32"/>
        </w:rPr>
        <w:fldChar w:fldCharType="separate"/>
      </w:r>
      <w:r>
        <w:rPr>
          <w:sz w:val="24"/>
          <w:szCs w:val="32"/>
        </w:rPr>
        <w:t>5</w:t>
      </w:r>
      <w:r>
        <w:rPr>
          <w:sz w:val="24"/>
          <w:szCs w:val="32"/>
        </w:rPr>
        <w:fldChar w:fldCharType="end"/>
      </w:r>
      <w:r>
        <w:rPr>
          <w:sz w:val="24"/>
          <w:szCs w:val="32"/>
        </w:rPr>
        <w:fldChar w:fldCharType="end"/>
      </w:r>
    </w:p>
    <w:p>
      <w:pPr>
        <w:pStyle w:val="9"/>
        <w:tabs>
          <w:tab w:val="right" w:leader="dot" w:pos="8998"/>
        </w:tabs>
        <w:spacing w:line="500" w:lineRule="exact"/>
        <w:rPr>
          <w:sz w:val="24"/>
          <w:szCs w:val="32"/>
        </w:rPr>
      </w:pPr>
      <w:r>
        <w:fldChar w:fldCharType="begin"/>
      </w:r>
      <w:r>
        <w:instrText xml:space="preserve"> HYPERLINK \l "_Toc6506" </w:instrText>
      </w:r>
      <w:r>
        <w:fldChar w:fldCharType="separate"/>
      </w:r>
      <w:r>
        <w:rPr>
          <w:rFonts w:hint="eastAsia"/>
          <w:sz w:val="24"/>
          <w:szCs w:val="32"/>
        </w:rPr>
        <w:t>第三章 合同条款及格式</w:t>
      </w:r>
      <w:r>
        <w:rPr>
          <w:sz w:val="24"/>
          <w:szCs w:val="32"/>
        </w:rPr>
        <w:tab/>
      </w:r>
      <w:r>
        <w:rPr>
          <w:sz w:val="24"/>
          <w:szCs w:val="32"/>
        </w:rPr>
        <w:fldChar w:fldCharType="begin"/>
      </w:r>
      <w:r>
        <w:rPr>
          <w:sz w:val="24"/>
          <w:szCs w:val="32"/>
        </w:rPr>
        <w:instrText xml:space="preserve"> PAGEREF _Toc6506 </w:instrText>
      </w:r>
      <w:r>
        <w:rPr>
          <w:sz w:val="24"/>
          <w:szCs w:val="32"/>
        </w:rPr>
        <w:fldChar w:fldCharType="separate"/>
      </w:r>
      <w:r>
        <w:rPr>
          <w:sz w:val="24"/>
          <w:szCs w:val="32"/>
        </w:rPr>
        <w:t>22</w:t>
      </w:r>
      <w:r>
        <w:rPr>
          <w:sz w:val="24"/>
          <w:szCs w:val="32"/>
        </w:rPr>
        <w:fldChar w:fldCharType="end"/>
      </w:r>
      <w:r>
        <w:rPr>
          <w:sz w:val="24"/>
          <w:szCs w:val="32"/>
        </w:rPr>
        <w:fldChar w:fldCharType="end"/>
      </w:r>
    </w:p>
    <w:p>
      <w:pPr>
        <w:pStyle w:val="9"/>
        <w:tabs>
          <w:tab w:val="right" w:leader="dot" w:pos="8998"/>
        </w:tabs>
        <w:spacing w:line="500" w:lineRule="exact"/>
        <w:rPr>
          <w:sz w:val="24"/>
          <w:szCs w:val="32"/>
        </w:rPr>
      </w:pPr>
      <w:r>
        <w:fldChar w:fldCharType="begin"/>
      </w:r>
      <w:r>
        <w:instrText xml:space="preserve"> HYPERLINK \l "_Toc22757" </w:instrText>
      </w:r>
      <w:r>
        <w:fldChar w:fldCharType="separate"/>
      </w:r>
      <w:r>
        <w:rPr>
          <w:rFonts w:hint="eastAsia"/>
          <w:sz w:val="24"/>
          <w:szCs w:val="32"/>
        </w:rPr>
        <w:t>第四章  采购内容及技术要求</w:t>
      </w:r>
      <w:r>
        <w:rPr>
          <w:sz w:val="24"/>
          <w:szCs w:val="32"/>
        </w:rPr>
        <w:tab/>
      </w:r>
      <w:r>
        <w:rPr>
          <w:sz w:val="24"/>
          <w:szCs w:val="32"/>
        </w:rPr>
        <w:fldChar w:fldCharType="begin"/>
      </w:r>
      <w:r>
        <w:rPr>
          <w:sz w:val="24"/>
          <w:szCs w:val="32"/>
        </w:rPr>
        <w:instrText xml:space="preserve"> PAGEREF _Toc22757 </w:instrText>
      </w:r>
      <w:r>
        <w:rPr>
          <w:sz w:val="24"/>
          <w:szCs w:val="32"/>
        </w:rPr>
        <w:fldChar w:fldCharType="separate"/>
      </w:r>
      <w:r>
        <w:rPr>
          <w:sz w:val="24"/>
          <w:szCs w:val="32"/>
        </w:rPr>
        <w:t>26</w:t>
      </w:r>
      <w:r>
        <w:rPr>
          <w:sz w:val="24"/>
          <w:szCs w:val="32"/>
        </w:rPr>
        <w:fldChar w:fldCharType="end"/>
      </w:r>
      <w:r>
        <w:rPr>
          <w:sz w:val="24"/>
          <w:szCs w:val="32"/>
        </w:rPr>
        <w:fldChar w:fldCharType="end"/>
      </w:r>
    </w:p>
    <w:p>
      <w:pPr>
        <w:pStyle w:val="9"/>
        <w:tabs>
          <w:tab w:val="right" w:leader="dot" w:pos="8998"/>
        </w:tabs>
        <w:spacing w:line="500" w:lineRule="exact"/>
        <w:rPr>
          <w:sz w:val="24"/>
          <w:szCs w:val="32"/>
        </w:rPr>
      </w:pPr>
      <w:r>
        <w:fldChar w:fldCharType="begin"/>
      </w:r>
      <w:r>
        <w:instrText xml:space="preserve"> HYPERLINK \l "_Toc23643" </w:instrText>
      </w:r>
      <w:r>
        <w:fldChar w:fldCharType="separate"/>
      </w:r>
      <w:r>
        <w:rPr>
          <w:rFonts w:hint="eastAsia"/>
          <w:sz w:val="24"/>
          <w:szCs w:val="32"/>
        </w:rPr>
        <w:t>第五章 响应文件格式</w:t>
      </w:r>
      <w:r>
        <w:rPr>
          <w:sz w:val="24"/>
          <w:szCs w:val="32"/>
        </w:rPr>
        <w:tab/>
      </w:r>
      <w:r>
        <w:rPr>
          <w:sz w:val="24"/>
          <w:szCs w:val="32"/>
        </w:rPr>
        <w:fldChar w:fldCharType="begin"/>
      </w:r>
      <w:r>
        <w:rPr>
          <w:sz w:val="24"/>
          <w:szCs w:val="32"/>
        </w:rPr>
        <w:instrText xml:space="preserve"> PAGEREF _Toc23643 </w:instrText>
      </w:r>
      <w:r>
        <w:rPr>
          <w:sz w:val="24"/>
          <w:szCs w:val="32"/>
        </w:rPr>
        <w:fldChar w:fldCharType="separate"/>
      </w:r>
      <w:r>
        <w:rPr>
          <w:sz w:val="24"/>
          <w:szCs w:val="32"/>
        </w:rPr>
        <w:t>48</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"_Toc27205" </w:instrText>
      </w:r>
      <w:r>
        <w:fldChar w:fldCharType="separate"/>
      </w:r>
      <w:r>
        <w:rPr>
          <w:rFonts w:hint="eastAsia" w:ascii="宋体" w:hAnsi="宋体"/>
          <w:bCs/>
          <w:sz w:val="24"/>
          <w:szCs w:val="32"/>
        </w:rPr>
        <w:t>一、法定代表人资格证明</w:t>
      </w:r>
      <w:r>
        <w:rPr>
          <w:sz w:val="24"/>
          <w:szCs w:val="32"/>
        </w:rPr>
        <w:tab/>
      </w:r>
      <w:r>
        <w:rPr>
          <w:sz w:val="24"/>
          <w:szCs w:val="32"/>
        </w:rPr>
        <w:fldChar w:fldCharType="begin"/>
      </w:r>
      <w:r>
        <w:rPr>
          <w:sz w:val="24"/>
          <w:szCs w:val="32"/>
        </w:rPr>
        <w:instrText xml:space="preserve"> PAGEREF _Toc27205 </w:instrText>
      </w:r>
      <w:r>
        <w:rPr>
          <w:sz w:val="24"/>
          <w:szCs w:val="32"/>
        </w:rPr>
        <w:fldChar w:fldCharType="separate"/>
      </w:r>
      <w:r>
        <w:rPr>
          <w:sz w:val="24"/>
          <w:szCs w:val="32"/>
        </w:rPr>
        <w:t>50</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"_Toc19480" </w:instrText>
      </w:r>
      <w:r>
        <w:fldChar w:fldCharType="separate"/>
      </w:r>
      <w:r>
        <w:rPr>
          <w:rFonts w:hint="eastAsia" w:ascii="宋体" w:hAnsi="宋体"/>
          <w:bCs/>
          <w:sz w:val="24"/>
          <w:szCs w:val="32"/>
        </w:rPr>
        <w:t>二、法人授权委托书</w:t>
      </w:r>
      <w:r>
        <w:rPr>
          <w:sz w:val="24"/>
          <w:szCs w:val="32"/>
        </w:rPr>
        <w:tab/>
      </w:r>
      <w:r>
        <w:rPr>
          <w:sz w:val="24"/>
          <w:szCs w:val="32"/>
        </w:rPr>
        <w:fldChar w:fldCharType="begin"/>
      </w:r>
      <w:r>
        <w:rPr>
          <w:sz w:val="24"/>
          <w:szCs w:val="32"/>
        </w:rPr>
        <w:instrText xml:space="preserve"> PAGEREF _Toc19480 </w:instrText>
      </w:r>
      <w:r>
        <w:rPr>
          <w:sz w:val="24"/>
          <w:szCs w:val="32"/>
        </w:rPr>
        <w:fldChar w:fldCharType="separate"/>
      </w:r>
      <w:r>
        <w:rPr>
          <w:sz w:val="24"/>
          <w:szCs w:val="32"/>
        </w:rPr>
        <w:t>51</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"_Toc18076" </w:instrText>
      </w:r>
      <w:r>
        <w:fldChar w:fldCharType="separate"/>
      </w:r>
      <w:r>
        <w:rPr>
          <w:rFonts w:hint="eastAsia" w:ascii="宋体" w:hAnsi="宋体"/>
          <w:bCs/>
          <w:sz w:val="24"/>
          <w:szCs w:val="32"/>
        </w:rPr>
        <w:t>三、磋商函</w:t>
      </w:r>
      <w:r>
        <w:rPr>
          <w:sz w:val="24"/>
          <w:szCs w:val="32"/>
        </w:rPr>
        <w:tab/>
      </w:r>
      <w:r>
        <w:rPr>
          <w:sz w:val="24"/>
          <w:szCs w:val="32"/>
        </w:rPr>
        <w:fldChar w:fldCharType="begin"/>
      </w:r>
      <w:r>
        <w:rPr>
          <w:sz w:val="24"/>
          <w:szCs w:val="32"/>
        </w:rPr>
        <w:instrText xml:space="preserve"> PAGEREF _Toc18076 </w:instrText>
      </w:r>
      <w:r>
        <w:rPr>
          <w:sz w:val="24"/>
          <w:szCs w:val="32"/>
        </w:rPr>
        <w:fldChar w:fldCharType="separate"/>
      </w:r>
      <w:r>
        <w:rPr>
          <w:sz w:val="24"/>
          <w:szCs w:val="32"/>
        </w:rPr>
        <w:t>52</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"_Toc28424" </w:instrText>
      </w:r>
      <w:r>
        <w:fldChar w:fldCharType="separate"/>
      </w:r>
      <w:r>
        <w:rPr>
          <w:rFonts w:hint="eastAsia" w:ascii="宋体" w:hAnsi="宋体"/>
          <w:bCs/>
          <w:sz w:val="24"/>
          <w:szCs w:val="32"/>
        </w:rPr>
        <w:t>四、磋商一览表</w:t>
      </w:r>
      <w:r>
        <w:rPr>
          <w:sz w:val="24"/>
          <w:szCs w:val="32"/>
        </w:rPr>
        <w:tab/>
      </w:r>
      <w:r>
        <w:rPr>
          <w:sz w:val="24"/>
          <w:szCs w:val="32"/>
        </w:rPr>
        <w:fldChar w:fldCharType="begin"/>
      </w:r>
      <w:r>
        <w:rPr>
          <w:sz w:val="24"/>
          <w:szCs w:val="32"/>
        </w:rPr>
        <w:instrText xml:space="preserve"> PAGEREF _Toc28424 </w:instrText>
      </w:r>
      <w:r>
        <w:rPr>
          <w:sz w:val="24"/>
          <w:szCs w:val="32"/>
        </w:rPr>
        <w:fldChar w:fldCharType="separate"/>
      </w:r>
      <w:r>
        <w:rPr>
          <w:sz w:val="24"/>
          <w:szCs w:val="32"/>
        </w:rPr>
        <w:t>53</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"_Toc1548" </w:instrText>
      </w:r>
      <w:r>
        <w:fldChar w:fldCharType="separate"/>
      </w:r>
      <w:r>
        <w:rPr>
          <w:rFonts w:hint="eastAsia" w:ascii="宋体" w:hAnsi="宋体"/>
          <w:bCs/>
          <w:sz w:val="24"/>
          <w:szCs w:val="32"/>
        </w:rPr>
        <w:t>五、供应商资质证明文件</w:t>
      </w:r>
      <w:r>
        <w:rPr>
          <w:sz w:val="24"/>
          <w:szCs w:val="32"/>
        </w:rPr>
        <w:tab/>
      </w:r>
      <w:r>
        <w:rPr>
          <w:sz w:val="24"/>
          <w:szCs w:val="32"/>
        </w:rPr>
        <w:fldChar w:fldCharType="begin"/>
      </w:r>
      <w:r>
        <w:rPr>
          <w:sz w:val="24"/>
          <w:szCs w:val="32"/>
        </w:rPr>
        <w:instrText xml:space="preserve"> PAGEREF _Toc1548 </w:instrText>
      </w:r>
      <w:r>
        <w:rPr>
          <w:sz w:val="24"/>
          <w:szCs w:val="32"/>
        </w:rPr>
        <w:fldChar w:fldCharType="separate"/>
      </w:r>
      <w:r>
        <w:rPr>
          <w:sz w:val="24"/>
          <w:szCs w:val="32"/>
        </w:rPr>
        <w:t>54</w:t>
      </w:r>
      <w:r>
        <w:rPr>
          <w:sz w:val="24"/>
          <w:szCs w:val="32"/>
        </w:rPr>
        <w:fldChar w:fldCharType="end"/>
      </w:r>
      <w:r>
        <w:rPr>
          <w:sz w:val="24"/>
          <w:szCs w:val="32"/>
        </w:rPr>
        <w:fldChar w:fldCharType="end"/>
      </w:r>
    </w:p>
    <w:p>
      <w:pPr>
        <w:pStyle w:val="10"/>
        <w:tabs>
          <w:tab w:val="right" w:leader="dot" w:pos="8998"/>
        </w:tabs>
        <w:spacing w:line="500" w:lineRule="exact"/>
        <w:ind w:left="480"/>
        <w:rPr>
          <w:sz w:val="24"/>
          <w:szCs w:val="32"/>
        </w:rPr>
      </w:pPr>
      <w:r>
        <w:fldChar w:fldCharType="begin"/>
      </w:r>
      <w:r>
        <w:instrText xml:space="preserve"> HYPERLINK \l "_Toc18331" </w:instrText>
      </w:r>
      <w:r>
        <w:fldChar w:fldCharType="separate"/>
      </w:r>
      <w:r>
        <w:rPr>
          <w:rFonts w:hint="eastAsia" w:ascii="宋体" w:hAnsi="宋体"/>
          <w:bCs/>
          <w:sz w:val="24"/>
          <w:szCs w:val="32"/>
        </w:rPr>
        <w:t>六、磋商响应方案说明书</w:t>
      </w:r>
      <w:r>
        <w:rPr>
          <w:sz w:val="24"/>
          <w:szCs w:val="32"/>
        </w:rPr>
        <w:tab/>
      </w:r>
      <w:r>
        <w:rPr>
          <w:sz w:val="24"/>
          <w:szCs w:val="32"/>
        </w:rPr>
        <w:fldChar w:fldCharType="begin"/>
      </w:r>
      <w:r>
        <w:rPr>
          <w:sz w:val="24"/>
          <w:szCs w:val="32"/>
        </w:rPr>
        <w:instrText xml:space="preserve"> PAGEREF _Toc18331 </w:instrText>
      </w:r>
      <w:r>
        <w:rPr>
          <w:sz w:val="24"/>
          <w:szCs w:val="32"/>
        </w:rPr>
        <w:fldChar w:fldCharType="separate"/>
      </w:r>
      <w:r>
        <w:rPr>
          <w:sz w:val="24"/>
          <w:szCs w:val="32"/>
        </w:rPr>
        <w:t>55</w:t>
      </w:r>
      <w:r>
        <w:rPr>
          <w:sz w:val="24"/>
          <w:szCs w:val="32"/>
        </w:rPr>
        <w:fldChar w:fldCharType="end"/>
      </w:r>
      <w:r>
        <w:rPr>
          <w:sz w:val="24"/>
          <w:szCs w:val="32"/>
        </w:rPr>
        <w:fldChar w:fldCharType="end"/>
      </w:r>
    </w:p>
    <w:p>
      <w:pPr>
        <w:pStyle w:val="9"/>
        <w:tabs>
          <w:tab w:val="right" w:leader="dot" w:pos="8998"/>
        </w:tabs>
        <w:spacing w:line="500" w:lineRule="exact"/>
        <w:rPr>
          <w:sz w:val="24"/>
          <w:szCs w:val="32"/>
        </w:rPr>
      </w:pPr>
      <w:r>
        <w:fldChar w:fldCharType="begin"/>
      </w:r>
      <w:r>
        <w:instrText xml:space="preserve"> HYPERLINK \l "_Toc2252" </w:instrText>
      </w:r>
      <w:r>
        <w:fldChar w:fldCharType="separate"/>
      </w:r>
      <w:r>
        <w:rPr>
          <w:rFonts w:hint="eastAsia" w:cs="宋体"/>
          <w:sz w:val="24"/>
          <w:szCs w:val="40"/>
        </w:rPr>
        <w:t>政府采购投标担保函（项目用）</w:t>
      </w:r>
      <w:r>
        <w:rPr>
          <w:sz w:val="24"/>
          <w:szCs w:val="32"/>
        </w:rPr>
        <w:tab/>
      </w:r>
      <w:r>
        <w:rPr>
          <w:sz w:val="24"/>
          <w:szCs w:val="32"/>
        </w:rPr>
        <w:fldChar w:fldCharType="begin"/>
      </w:r>
      <w:r>
        <w:rPr>
          <w:sz w:val="24"/>
          <w:szCs w:val="32"/>
        </w:rPr>
        <w:instrText xml:space="preserve"> PAGEREF _Toc2252 </w:instrText>
      </w:r>
      <w:r>
        <w:rPr>
          <w:sz w:val="24"/>
          <w:szCs w:val="32"/>
        </w:rPr>
        <w:fldChar w:fldCharType="separate"/>
      </w:r>
      <w:r>
        <w:rPr>
          <w:sz w:val="24"/>
          <w:szCs w:val="32"/>
        </w:rPr>
        <w:t>60</w:t>
      </w:r>
      <w:r>
        <w:rPr>
          <w:sz w:val="24"/>
          <w:szCs w:val="32"/>
        </w:rPr>
        <w:fldChar w:fldCharType="end"/>
      </w:r>
      <w:r>
        <w:rPr>
          <w:sz w:val="24"/>
          <w:szCs w:val="32"/>
        </w:rPr>
        <w:fldChar w:fldCharType="end"/>
      </w:r>
    </w:p>
    <w:p>
      <w:pPr>
        <w:pStyle w:val="9"/>
        <w:tabs>
          <w:tab w:val="right" w:leader="dot" w:pos="8998"/>
        </w:tabs>
        <w:spacing w:line="500" w:lineRule="exact"/>
      </w:pPr>
      <w:r>
        <w:fldChar w:fldCharType="begin"/>
      </w:r>
      <w:r>
        <w:instrText xml:space="preserve"> HYPERLINK \l "_Toc9865" </w:instrText>
      </w:r>
      <w:r>
        <w:fldChar w:fldCharType="separate"/>
      </w:r>
      <w:r>
        <w:rPr>
          <w:rFonts w:hint="eastAsia" w:cs="宋体"/>
          <w:sz w:val="24"/>
          <w:szCs w:val="40"/>
        </w:rPr>
        <w:t>政府采购履约担保函（项目用）</w:t>
      </w:r>
      <w:r>
        <w:rPr>
          <w:sz w:val="24"/>
          <w:szCs w:val="32"/>
        </w:rPr>
        <w:tab/>
      </w:r>
      <w:r>
        <w:rPr>
          <w:sz w:val="24"/>
          <w:szCs w:val="32"/>
        </w:rPr>
        <w:fldChar w:fldCharType="begin"/>
      </w:r>
      <w:r>
        <w:rPr>
          <w:sz w:val="24"/>
          <w:szCs w:val="32"/>
        </w:rPr>
        <w:instrText xml:space="preserve"> PAGEREF _Toc9865 </w:instrText>
      </w:r>
      <w:r>
        <w:rPr>
          <w:sz w:val="24"/>
          <w:szCs w:val="32"/>
        </w:rPr>
        <w:fldChar w:fldCharType="separate"/>
      </w:r>
      <w:r>
        <w:rPr>
          <w:sz w:val="24"/>
          <w:szCs w:val="32"/>
        </w:rPr>
        <w:t>62</w:t>
      </w:r>
      <w:r>
        <w:rPr>
          <w:sz w:val="24"/>
          <w:szCs w:val="32"/>
        </w:rPr>
        <w:fldChar w:fldCharType="end"/>
      </w:r>
      <w:r>
        <w:rPr>
          <w:sz w:val="24"/>
          <w:szCs w:val="32"/>
        </w:rPr>
        <w:fldChar w:fldCharType="end"/>
      </w:r>
    </w:p>
    <w:p>
      <w:pPr>
        <w:spacing w:line="560" w:lineRule="exact"/>
        <w:rPr>
          <w:rFonts w:ascii="宋体" w:hAnsi="宋体"/>
          <w:szCs w:val="24"/>
        </w:rPr>
      </w:pPr>
      <w:r>
        <w:rPr>
          <w:rFonts w:ascii="宋体" w:hAnsi="宋体"/>
          <w:szCs w:val="24"/>
        </w:rPr>
        <w:fldChar w:fldCharType="end"/>
      </w:r>
    </w:p>
    <w:p>
      <w:pPr>
        <w:rPr>
          <w:rFonts w:ascii="宋体" w:hAnsi="宋体"/>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rPr>
          <w:rFonts w:ascii="宋体" w:hAnsi="宋体"/>
          <w:sz w:val="32"/>
          <w:szCs w:val="32"/>
        </w:rPr>
      </w:pPr>
    </w:p>
    <w:p>
      <w:pPr>
        <w:rPr>
          <w:rFonts w:ascii="宋体" w:hAnsi="宋体"/>
          <w:sz w:val="32"/>
          <w:szCs w:val="32"/>
        </w:rPr>
      </w:pPr>
    </w:p>
    <w:p>
      <w:pPr>
        <w:pStyle w:val="3"/>
        <w:sectPr>
          <w:footerReference r:id="rId10" w:type="first"/>
          <w:footerReference r:id="rId9" w:type="default"/>
          <w:pgSz w:w="11906" w:h="16838"/>
          <w:pgMar w:top="1418" w:right="828" w:bottom="1418" w:left="1218" w:header="851" w:footer="992" w:gutter="0"/>
          <w:pgNumType w:start="1"/>
          <w:cols w:space="720" w:num="1"/>
          <w:titlePg/>
          <w:docGrid w:linePitch="312" w:charSpace="0"/>
        </w:sectPr>
      </w:pPr>
      <w:bookmarkStart w:id="0" w:name="_Toc19866"/>
      <w:bookmarkStart w:id="1" w:name="_Toc1509"/>
      <w:bookmarkStart w:id="2" w:name="_Toc458617729"/>
      <w:bookmarkStart w:id="3" w:name="_Toc458617452"/>
      <w:bookmarkStart w:id="4" w:name="_Toc30185"/>
    </w:p>
    <w:p>
      <w:pPr>
        <w:pStyle w:val="3"/>
      </w:pPr>
      <w:r>
        <w:rPr>
          <w:rFonts w:hint="eastAsia"/>
        </w:rPr>
        <w:t>第一章  竞争性磋商公告</w:t>
      </w:r>
      <w:bookmarkEnd w:id="0"/>
      <w:bookmarkEnd w:id="1"/>
      <w:bookmarkEnd w:id="2"/>
      <w:bookmarkEnd w:id="3"/>
      <w:bookmarkEnd w:id="4"/>
    </w:p>
    <w:p>
      <w:pPr>
        <w:pStyle w:val="11"/>
        <w:spacing w:line="500" w:lineRule="exact"/>
        <w:ind w:firstLine="480"/>
        <w:rPr>
          <w:color w:val="000000"/>
        </w:rPr>
      </w:pPr>
      <w:r>
        <w:rPr>
          <w:rFonts w:hint="eastAsia"/>
          <w:color w:val="000000"/>
        </w:rPr>
        <w:t>陕西中财招标代理有限公司受陕西学前师范学院委托，经政府采购管理部门批准，按照政府采购程序，对陕西学前师范学院体质评价与运动干预实践教学创新平台建设项目进行竞争性磋商，欢迎符合资格条件的、有能力提供本项目</w:t>
      </w:r>
      <w:r>
        <w:rPr>
          <w:rFonts w:hint="eastAsia"/>
        </w:rPr>
        <w:t>所需货物和服务的供应</w:t>
      </w:r>
      <w:r>
        <w:rPr>
          <w:rFonts w:hint="eastAsia"/>
          <w:color w:val="000000"/>
        </w:rPr>
        <w:t>商参加磋商。</w:t>
      </w:r>
      <w:r>
        <w:rPr>
          <w:color w:val="000000"/>
        </w:rPr>
        <w:t xml:space="preserve"> </w:t>
      </w:r>
    </w:p>
    <w:p>
      <w:pPr>
        <w:pStyle w:val="11"/>
        <w:numPr>
          <w:ilvl w:val="0"/>
          <w:numId w:val="1"/>
        </w:numPr>
        <w:spacing w:line="500" w:lineRule="exact"/>
        <w:rPr>
          <w:color w:val="000000"/>
        </w:rPr>
      </w:pPr>
      <w:r>
        <w:rPr>
          <w:rFonts w:hint="eastAsia"/>
          <w:color w:val="000000"/>
        </w:rPr>
        <w:t>采购项目名称：陕西学前师范学院体质评价与运动干预实践教学创新平台建设项目</w:t>
      </w:r>
    </w:p>
    <w:p>
      <w:pPr>
        <w:pStyle w:val="11"/>
        <w:spacing w:line="500" w:lineRule="exact"/>
        <w:rPr>
          <w:color w:val="000000"/>
        </w:rPr>
      </w:pPr>
      <w:r>
        <w:rPr>
          <w:rFonts w:hint="eastAsia"/>
          <w:color w:val="000000"/>
        </w:rPr>
        <w:t>二、采购项目编号：SXZC-ZB-2019033</w:t>
      </w:r>
    </w:p>
    <w:p>
      <w:pPr>
        <w:pStyle w:val="11"/>
        <w:spacing w:line="500" w:lineRule="exact"/>
        <w:rPr>
          <w:color w:val="000000"/>
        </w:rPr>
      </w:pPr>
      <w:r>
        <w:rPr>
          <w:rFonts w:hint="eastAsia"/>
          <w:color w:val="000000"/>
        </w:rPr>
        <w:t>三、采购人名称：陕西学前师范学院</w:t>
      </w:r>
      <w:r>
        <w:rPr>
          <w:rFonts w:hint="eastAsia" w:cs="宋体"/>
        </w:rPr>
        <w:t xml:space="preserve">   </w:t>
      </w:r>
    </w:p>
    <w:p>
      <w:pPr>
        <w:pStyle w:val="11"/>
        <w:spacing w:line="500" w:lineRule="exact"/>
        <w:ind w:firstLine="480" w:firstLineChars="200"/>
        <w:rPr>
          <w:color w:val="000000"/>
        </w:rPr>
      </w:pPr>
      <w:r>
        <w:rPr>
          <w:rFonts w:hint="eastAsia"/>
          <w:color w:val="000000"/>
        </w:rPr>
        <w:t xml:space="preserve">地    址：西安市长安区神禾二路        </w:t>
      </w:r>
    </w:p>
    <w:p>
      <w:pPr>
        <w:pStyle w:val="11"/>
        <w:spacing w:line="500" w:lineRule="exact"/>
        <w:ind w:firstLine="480" w:firstLineChars="200"/>
        <w:rPr>
          <w:color w:val="000000"/>
        </w:rPr>
      </w:pPr>
      <w:r>
        <w:rPr>
          <w:rFonts w:hint="eastAsia"/>
          <w:color w:val="000000"/>
        </w:rPr>
        <w:t>联系方式：韩老师  029-81530065</w:t>
      </w:r>
    </w:p>
    <w:p>
      <w:pPr>
        <w:pStyle w:val="11"/>
        <w:spacing w:line="500" w:lineRule="exact"/>
        <w:rPr>
          <w:color w:val="000000"/>
        </w:rPr>
      </w:pPr>
      <w:r>
        <w:rPr>
          <w:rFonts w:hint="eastAsia"/>
          <w:color w:val="000000"/>
        </w:rPr>
        <w:t>四、采购代理机构名称：陕西中财招标代理有限公司</w:t>
      </w:r>
      <w:r>
        <w:rPr>
          <w:color w:val="000000"/>
        </w:rPr>
        <w:t xml:space="preserve"> </w:t>
      </w:r>
    </w:p>
    <w:p>
      <w:pPr>
        <w:pStyle w:val="11"/>
        <w:spacing w:line="500" w:lineRule="exact"/>
        <w:ind w:firstLine="480"/>
        <w:rPr>
          <w:color w:val="000000"/>
        </w:rPr>
      </w:pPr>
      <w:r>
        <w:rPr>
          <w:rFonts w:hint="eastAsia"/>
          <w:color w:val="000000"/>
        </w:rPr>
        <w:t>地址：西安市未央区老三届首座大厦18层A802室</w:t>
      </w:r>
    </w:p>
    <w:p>
      <w:pPr>
        <w:pStyle w:val="11"/>
        <w:spacing w:line="500" w:lineRule="exact"/>
        <w:ind w:firstLine="480"/>
        <w:rPr>
          <w:color w:val="000000"/>
        </w:rPr>
      </w:pPr>
      <w:r>
        <w:rPr>
          <w:rFonts w:hint="eastAsia"/>
          <w:color w:val="000000"/>
        </w:rPr>
        <w:t xml:space="preserve">联系方式：裴建东   029-86450708 </w:t>
      </w:r>
    </w:p>
    <w:p>
      <w:pPr>
        <w:spacing w:line="480" w:lineRule="exact"/>
        <w:rPr>
          <w:rFonts w:ascii="宋体" w:hAnsi="宋体" w:cs="仿宋_GB2312"/>
          <w:szCs w:val="24"/>
        </w:rPr>
      </w:pPr>
      <w:r>
        <w:rPr>
          <w:rFonts w:hint="eastAsia"/>
          <w:color w:val="000000"/>
        </w:rPr>
        <w:t>五、采购内容和要求：</w:t>
      </w:r>
      <w:r>
        <w:rPr>
          <w:rFonts w:hint="eastAsia" w:ascii="宋体" w:hAnsi="宋体" w:cs="仿宋_GB2312"/>
          <w:szCs w:val="24"/>
        </w:rPr>
        <w:t>体质评价与运动干预实践教学创新平台建设（具体内容详见竞争性磋商文件）</w:t>
      </w:r>
    </w:p>
    <w:p>
      <w:pPr>
        <w:spacing w:line="480" w:lineRule="exact"/>
        <w:rPr>
          <w:rFonts w:ascii="宋体" w:hAnsi="宋体" w:cs="仿宋_GB2312"/>
          <w:szCs w:val="24"/>
        </w:rPr>
      </w:pPr>
      <w:r>
        <w:rPr>
          <w:rFonts w:hint="eastAsia" w:ascii="宋体" w:hAnsi="宋体" w:cs="仿宋_GB2312"/>
          <w:szCs w:val="24"/>
        </w:rPr>
        <w:t xml:space="preserve">    采购预算：人民币壹佰贰拾捌万肆仟玖佰玖拾元整，（¥128.499万元）；</w:t>
      </w:r>
    </w:p>
    <w:p>
      <w:pPr>
        <w:pStyle w:val="11"/>
        <w:spacing w:line="500" w:lineRule="exact"/>
        <w:rPr>
          <w:rFonts w:ascii="ˎ̥" w:hAnsi="ˎ̥"/>
          <w:color w:val="000000"/>
          <w:sz w:val="18"/>
          <w:szCs w:val="18"/>
        </w:rPr>
      </w:pPr>
      <w:r>
        <w:rPr>
          <w:rFonts w:hint="eastAsia"/>
          <w:color w:val="000000"/>
        </w:rPr>
        <w:t xml:space="preserve">    项目性质：财政资金</w:t>
      </w:r>
      <w:r>
        <w:rPr>
          <w:rFonts w:hint="eastAsia" w:ascii="宋体" w:hAnsi="宋体" w:cs="仿宋_GB2312"/>
        </w:rPr>
        <w:t>；</w:t>
      </w:r>
    </w:p>
    <w:p>
      <w:pPr>
        <w:pStyle w:val="11"/>
        <w:spacing w:line="500" w:lineRule="exact"/>
        <w:rPr>
          <w:rFonts w:ascii="ˎ̥" w:hAnsi="ˎ̥"/>
          <w:color w:val="000000"/>
          <w:sz w:val="18"/>
          <w:szCs w:val="18"/>
        </w:rPr>
      </w:pPr>
      <w:r>
        <w:rPr>
          <w:rFonts w:hint="eastAsia"/>
          <w:color w:val="000000"/>
        </w:rPr>
        <w:t xml:space="preserve">六、供应商资格要求： </w:t>
      </w:r>
    </w:p>
    <w:p>
      <w:pPr>
        <w:pStyle w:val="11"/>
        <w:spacing w:line="500" w:lineRule="exact"/>
        <w:ind w:firstLine="480"/>
        <w:rPr>
          <w:color w:val="000000"/>
        </w:rPr>
      </w:pPr>
      <w:r>
        <w:rPr>
          <w:rFonts w:hint="eastAsia"/>
          <w:color w:val="000000"/>
        </w:rPr>
        <w:t xml:space="preserve">投标人除具有《中华人民共和国政府采购法》第二十二条规定的相关条件外，还应具备以下条件： </w:t>
      </w:r>
    </w:p>
    <w:p>
      <w:pPr>
        <w:spacing w:line="500" w:lineRule="exact"/>
        <w:ind w:firstLine="480" w:firstLineChars="200"/>
        <w:rPr>
          <w:color w:val="000000"/>
        </w:rPr>
      </w:pPr>
      <w:r>
        <w:rPr>
          <w:rFonts w:hint="eastAsia"/>
          <w:color w:val="000000"/>
        </w:rPr>
        <w:t>1、合法注册的法人应提供营业执照（或事业法人证）、组织机构代码证、税务登记证（提供年检证明文件）或统一社会信用代码的营业执照（提供2017年或2018年企业信息公示年度报告）或其他组织应提供合法证明文件或自然人提供身份证件；</w:t>
      </w:r>
    </w:p>
    <w:p>
      <w:pPr>
        <w:spacing w:line="500" w:lineRule="exact"/>
        <w:ind w:firstLine="480" w:firstLineChars="200"/>
        <w:rPr>
          <w:color w:val="000000"/>
        </w:rPr>
      </w:pPr>
      <w:r>
        <w:rPr>
          <w:rFonts w:hint="eastAsia"/>
          <w:color w:val="000000"/>
        </w:rPr>
        <w:t>2、供应商应具有独立承担民事责任的能力且具备向采购人提供相关服务的企业法人、事业法人或其他组织，供应商应授权合法的人员参加投标全过程，其中法定代表人直接参加投标的，须出具法定代表人身份证，并与营业执照上信息一致；法定代表人授权代表参加投标的，须出具法定代表人授权书及授权代表身份证以及本单位证明（劳动合同或社保证明）；</w:t>
      </w:r>
    </w:p>
    <w:p>
      <w:pPr>
        <w:spacing w:line="500" w:lineRule="exact"/>
        <w:ind w:firstLine="480" w:firstLineChars="200"/>
        <w:rPr>
          <w:color w:val="000000"/>
        </w:rPr>
      </w:pPr>
      <w:r>
        <w:rPr>
          <w:rFonts w:hint="eastAsia"/>
          <w:color w:val="000000"/>
        </w:rPr>
        <w:t>3、提供采购代理机构出具的投标保证金收据或担保机构出具的保函；</w:t>
      </w:r>
    </w:p>
    <w:p>
      <w:pPr>
        <w:spacing w:line="500" w:lineRule="exact"/>
        <w:ind w:firstLine="480" w:firstLineChars="200"/>
        <w:rPr>
          <w:color w:val="000000"/>
        </w:rPr>
      </w:pPr>
      <w:r>
        <w:rPr>
          <w:rFonts w:hint="eastAsia"/>
          <w:color w:val="000000"/>
        </w:rPr>
        <w:t>4、供应商为生产厂家的须提供医疗器械生产许可证和所投产品的医疗器械产品注册证；供应商为代理经销商的须提供医疗器械经营许可证和所投产品的医疗器械产品注册证（换证期间须提供相关管理机构的证明文件）；若为进口产品需提供“进”字号注册证及产品授权书。</w:t>
      </w:r>
    </w:p>
    <w:p>
      <w:pPr>
        <w:spacing w:line="500" w:lineRule="exact"/>
        <w:ind w:firstLine="480" w:firstLineChars="200"/>
        <w:rPr>
          <w:color w:val="000000"/>
        </w:rPr>
      </w:pPr>
      <w:r>
        <w:rPr>
          <w:rFonts w:hint="eastAsia"/>
          <w:color w:val="000000"/>
        </w:rPr>
        <w:t>5、供应商不得为“中华人民共和国最高人民法院”网站（www.court.gov.cn）被列入失信被执行人名单的供应商，“信用中国”网站（www.creditchina.gov.cn）中被列入重大税收违法案件当事人名单的供应商，“中国政府采购”网站（www.ccgp.gov.cn）政府采购严重违法失信行为记录名单中被财政部门禁止参加政府采购活动的供应商（提供以上查询结果网页截图），并提供参加政府采购活动前3年内在经营活动中没有重大违法记录的书面声明。</w:t>
      </w:r>
    </w:p>
    <w:p>
      <w:pPr>
        <w:spacing w:line="500" w:lineRule="exact"/>
        <w:ind w:firstLine="480" w:firstLineChars="200"/>
        <w:rPr>
          <w:rFonts w:ascii="宋体" w:hAnsi="宋体"/>
        </w:rPr>
      </w:pPr>
      <w:r>
        <w:rPr>
          <w:rFonts w:hint="eastAsia" w:ascii="宋体" w:hAnsi="宋体"/>
        </w:rPr>
        <w:t>注：本项目不接受联合体磋商。</w:t>
      </w:r>
    </w:p>
    <w:p>
      <w:pPr>
        <w:pStyle w:val="11"/>
        <w:spacing w:line="500" w:lineRule="exact"/>
        <w:rPr>
          <w:rFonts w:ascii="ˎ̥" w:hAnsi="ˎ̥"/>
          <w:color w:val="000000"/>
          <w:sz w:val="18"/>
          <w:szCs w:val="18"/>
        </w:rPr>
      </w:pPr>
      <w:r>
        <w:rPr>
          <w:rFonts w:hint="eastAsia"/>
          <w:color w:val="000000"/>
        </w:rPr>
        <w:t>七、采购项目需要落实的政府采购政策：</w:t>
      </w:r>
      <w:r>
        <w:rPr>
          <w:rFonts w:ascii="ˎ̥" w:hAnsi="ˎ̥"/>
          <w:color w:val="000000"/>
          <w:sz w:val="18"/>
          <w:szCs w:val="18"/>
        </w:rPr>
        <w:t xml:space="preserve"> </w:t>
      </w:r>
    </w:p>
    <w:p>
      <w:pPr>
        <w:pStyle w:val="11"/>
        <w:spacing w:line="500" w:lineRule="exact"/>
        <w:ind w:firstLine="480"/>
        <w:rPr>
          <w:rFonts w:ascii="ˎ̥" w:hAnsi="ˎ̥"/>
          <w:color w:val="000000"/>
          <w:sz w:val="18"/>
          <w:szCs w:val="18"/>
        </w:rPr>
      </w:pPr>
      <w:r>
        <w:rPr>
          <w:rFonts w:hint="eastAsia"/>
          <w:color w:val="000000"/>
        </w:rPr>
        <w:t>依据《中华人民共和国政府采购法》和《中华人民共和国政府采购实施条例》的有关规定，落实政府采购“优先购买节能环保产品、扶持小微企业、监狱企业、福利企业” 等相关政策。</w:t>
      </w:r>
      <w:r>
        <w:rPr>
          <w:rFonts w:ascii="ˎ̥" w:hAnsi="ˎ̥"/>
          <w:color w:val="000000"/>
          <w:sz w:val="18"/>
          <w:szCs w:val="18"/>
        </w:rPr>
        <w:t xml:space="preserve"> </w:t>
      </w:r>
    </w:p>
    <w:p>
      <w:pPr>
        <w:pStyle w:val="11"/>
        <w:spacing w:line="500" w:lineRule="exact"/>
        <w:ind w:firstLine="480"/>
        <w:rPr>
          <w:rFonts w:ascii="ˎ̥" w:hAnsi="ˎ̥"/>
          <w:color w:val="000000"/>
          <w:sz w:val="18"/>
          <w:szCs w:val="18"/>
        </w:rPr>
      </w:pPr>
      <w:r>
        <w:rPr>
          <w:rFonts w:hint="eastAsia"/>
          <w:color w:val="000000"/>
        </w:rPr>
        <w:t xml:space="preserve">1、《政府采购促进中小企业发展暂行办法》（财库〔2011〕181号）； </w:t>
      </w:r>
    </w:p>
    <w:p>
      <w:pPr>
        <w:pStyle w:val="11"/>
        <w:spacing w:line="500" w:lineRule="exact"/>
        <w:ind w:firstLine="480"/>
        <w:rPr>
          <w:rFonts w:ascii="ˎ̥" w:hAnsi="ˎ̥"/>
          <w:color w:val="000000"/>
          <w:sz w:val="18"/>
          <w:szCs w:val="18"/>
        </w:rPr>
      </w:pPr>
      <w:r>
        <w:rPr>
          <w:rFonts w:hint="eastAsia"/>
          <w:color w:val="000000"/>
        </w:rPr>
        <w:t xml:space="preserve">2、《财政部司法部关于政府采购支持监狱企业发展有关问题的通知》（财库〔2014〕68号）； </w:t>
      </w:r>
    </w:p>
    <w:p>
      <w:pPr>
        <w:pStyle w:val="11"/>
        <w:spacing w:line="500" w:lineRule="exact"/>
        <w:ind w:firstLine="480"/>
        <w:rPr>
          <w:rFonts w:ascii="ˎ̥" w:hAnsi="ˎ̥"/>
          <w:color w:val="000000"/>
          <w:sz w:val="18"/>
          <w:szCs w:val="18"/>
        </w:rPr>
      </w:pPr>
      <w:r>
        <w:rPr>
          <w:rFonts w:hint="eastAsia"/>
          <w:color w:val="000000"/>
        </w:rPr>
        <w:t xml:space="preserve">3、《国务院办公厅关于建立政府强制采购节能产品制度的通知》（国办发〔2007〕51号）； </w:t>
      </w:r>
    </w:p>
    <w:p>
      <w:pPr>
        <w:pStyle w:val="11"/>
        <w:spacing w:line="500" w:lineRule="exact"/>
        <w:ind w:firstLine="480"/>
        <w:rPr>
          <w:rFonts w:ascii="ˎ̥" w:hAnsi="ˎ̥"/>
          <w:color w:val="000000"/>
          <w:sz w:val="18"/>
          <w:szCs w:val="18"/>
        </w:rPr>
      </w:pPr>
      <w:r>
        <w:rPr>
          <w:rFonts w:hint="eastAsia"/>
          <w:color w:val="000000"/>
        </w:rPr>
        <w:t>4、《节能产品政府采购实施意见》（财库[2004]185号）；</w:t>
      </w:r>
      <w:r>
        <w:rPr>
          <w:rFonts w:ascii="ˎ̥" w:hAnsi="ˎ̥"/>
          <w:color w:val="000000"/>
          <w:sz w:val="18"/>
          <w:szCs w:val="18"/>
        </w:rPr>
        <w:t xml:space="preserve"> </w:t>
      </w:r>
    </w:p>
    <w:p>
      <w:pPr>
        <w:pStyle w:val="11"/>
        <w:spacing w:line="500" w:lineRule="exact"/>
        <w:ind w:firstLine="480"/>
        <w:rPr>
          <w:color w:val="000000"/>
        </w:rPr>
      </w:pPr>
      <w:r>
        <w:rPr>
          <w:rFonts w:hint="eastAsia"/>
          <w:color w:val="000000"/>
        </w:rPr>
        <w:t>5、《环境标志产品政府采购实施的意见》（财库[2006]90号）；</w:t>
      </w:r>
    </w:p>
    <w:p>
      <w:pPr>
        <w:pStyle w:val="11"/>
        <w:spacing w:before="100" w:after="100" w:line="500" w:lineRule="exact"/>
        <w:ind w:firstLine="480"/>
        <w:rPr>
          <w:rFonts w:ascii="ˎ̥" w:hAnsi="ˎ̥"/>
          <w:color w:val="000000"/>
          <w:sz w:val="18"/>
          <w:szCs w:val="18"/>
        </w:rPr>
      </w:pPr>
      <w:r>
        <w:rPr>
          <w:rFonts w:hint="eastAsia"/>
          <w:color w:val="000000"/>
        </w:rPr>
        <w:t>6、《财政部民政部中国残疾人联合会关于促进残疾人就业政府采购政策的通知》（财库〔2017〕141号）。</w:t>
      </w:r>
    </w:p>
    <w:p>
      <w:pPr>
        <w:pStyle w:val="11"/>
        <w:spacing w:line="500" w:lineRule="exact"/>
        <w:rPr>
          <w:rFonts w:ascii="ˎ̥" w:hAnsi="ˎ̥"/>
          <w:color w:val="000000"/>
          <w:sz w:val="18"/>
          <w:szCs w:val="18"/>
        </w:rPr>
      </w:pPr>
      <w:r>
        <w:rPr>
          <w:rFonts w:hint="eastAsia"/>
          <w:color w:val="000000"/>
        </w:rPr>
        <w:t>八、获取磋商文件的时间和地点</w:t>
      </w:r>
    </w:p>
    <w:p>
      <w:pPr>
        <w:pStyle w:val="11"/>
        <w:spacing w:line="500" w:lineRule="exact"/>
        <w:ind w:firstLine="480"/>
        <w:rPr>
          <w:rFonts w:ascii="ˎ̥" w:hAnsi="ˎ̥"/>
          <w:color w:val="000000"/>
          <w:sz w:val="18"/>
          <w:szCs w:val="18"/>
        </w:rPr>
      </w:pPr>
      <w:r>
        <w:rPr>
          <w:rFonts w:hint="eastAsia"/>
          <w:color w:val="000000"/>
        </w:rPr>
        <w:t>1、获取时间：2019年6月3日-2019年6月11日（上午9：00-11：30，下午2：00-5：00，节假日除外）；</w:t>
      </w:r>
    </w:p>
    <w:p>
      <w:pPr>
        <w:pStyle w:val="11"/>
        <w:spacing w:line="500" w:lineRule="exact"/>
        <w:ind w:firstLine="461"/>
        <w:rPr>
          <w:rFonts w:cs="Tahoma"/>
        </w:rPr>
      </w:pPr>
      <w:r>
        <w:rPr>
          <w:rFonts w:hint="eastAsia" w:cs="Tahoma"/>
        </w:rPr>
        <w:t>供应商获取竞争性磋商文件时请携带下列证明文件（加盖公章）：</w:t>
      </w:r>
    </w:p>
    <w:p>
      <w:pPr>
        <w:pStyle w:val="11"/>
        <w:spacing w:line="500" w:lineRule="exact"/>
        <w:ind w:firstLine="461"/>
        <w:rPr>
          <w:rFonts w:cs="Tahoma"/>
        </w:rPr>
      </w:pPr>
      <w:r>
        <w:rPr>
          <w:rFonts w:hint="eastAsia" w:cs="Tahoma"/>
        </w:rPr>
        <w:t>（1）供应商出具的对经办人的介绍信原件；</w:t>
      </w:r>
    </w:p>
    <w:p>
      <w:pPr>
        <w:pStyle w:val="11"/>
        <w:spacing w:line="500" w:lineRule="exact"/>
        <w:ind w:firstLine="461"/>
        <w:rPr>
          <w:rFonts w:cs="Tahoma"/>
        </w:rPr>
      </w:pPr>
      <w:r>
        <w:rPr>
          <w:rFonts w:hint="eastAsia" w:cs="Tahoma"/>
        </w:rPr>
        <w:t>（2）经办人的身份证原件和复印件。</w:t>
      </w:r>
    </w:p>
    <w:p>
      <w:pPr>
        <w:pStyle w:val="11"/>
        <w:spacing w:line="500" w:lineRule="exact"/>
        <w:ind w:firstLine="480"/>
        <w:rPr>
          <w:rFonts w:ascii="ˎ̥" w:hAnsi="ˎ̥"/>
          <w:color w:val="000000"/>
          <w:sz w:val="18"/>
          <w:szCs w:val="18"/>
        </w:rPr>
      </w:pPr>
      <w:r>
        <w:rPr>
          <w:rFonts w:hint="eastAsia"/>
          <w:color w:val="000000"/>
        </w:rPr>
        <w:t>2、获取地点：西安市未央区老三届首座大厦18层A804室；</w:t>
      </w:r>
      <w:r>
        <w:rPr>
          <w:rFonts w:ascii="ˎ̥" w:hAnsi="ˎ̥"/>
          <w:color w:val="000000"/>
          <w:sz w:val="18"/>
          <w:szCs w:val="18"/>
        </w:rPr>
        <w:t xml:space="preserve"> </w:t>
      </w:r>
    </w:p>
    <w:p>
      <w:pPr>
        <w:pStyle w:val="11"/>
        <w:spacing w:line="500" w:lineRule="exact"/>
        <w:ind w:firstLine="480"/>
        <w:rPr>
          <w:rFonts w:ascii="ˎ̥" w:hAnsi="ˎ̥"/>
          <w:color w:val="000000"/>
          <w:sz w:val="18"/>
          <w:szCs w:val="18"/>
        </w:rPr>
      </w:pPr>
      <w:r>
        <w:rPr>
          <w:rFonts w:hint="eastAsia"/>
          <w:color w:val="000000"/>
        </w:rPr>
        <w:t>3、磋商文件售价：</w:t>
      </w:r>
      <w:r>
        <w:rPr>
          <w:rFonts w:hint="eastAsia" w:cs="Tahoma"/>
        </w:rPr>
        <w:t>500元</w:t>
      </w:r>
      <w:r>
        <w:rPr>
          <w:rFonts w:cs="Tahoma"/>
        </w:rPr>
        <w:t>/</w:t>
      </w:r>
      <w:r>
        <w:rPr>
          <w:rFonts w:hint="eastAsia" w:cs="Tahoma"/>
        </w:rPr>
        <w:t>份，售后不退。（谢绝邮寄）</w:t>
      </w:r>
      <w:r>
        <w:rPr>
          <w:rFonts w:ascii="ˎ̥" w:hAnsi="ˎ̥"/>
          <w:color w:val="000000"/>
          <w:sz w:val="18"/>
          <w:szCs w:val="18"/>
        </w:rPr>
        <w:t xml:space="preserve"> </w:t>
      </w:r>
    </w:p>
    <w:p>
      <w:pPr>
        <w:pStyle w:val="11"/>
        <w:spacing w:line="500" w:lineRule="exact"/>
        <w:rPr>
          <w:rFonts w:cs="Tahoma"/>
        </w:rPr>
      </w:pPr>
      <w:r>
        <w:rPr>
          <w:rFonts w:hint="eastAsia"/>
          <w:color w:val="000000"/>
        </w:rPr>
        <w:t>九、</w:t>
      </w:r>
      <w:r>
        <w:rPr>
          <w:rFonts w:hint="eastAsia" w:cs="Tahoma"/>
        </w:rPr>
        <w:t>响应文件递交的截止时间及磋商时间和地点：</w:t>
      </w:r>
    </w:p>
    <w:p>
      <w:pPr>
        <w:pStyle w:val="11"/>
        <w:spacing w:line="500" w:lineRule="exact"/>
        <w:ind w:firstLine="480"/>
        <w:rPr>
          <w:color w:val="000000"/>
        </w:rPr>
      </w:pPr>
      <w:r>
        <w:rPr>
          <w:rFonts w:hint="eastAsia"/>
          <w:color w:val="000000"/>
        </w:rPr>
        <w:t>1、响应文件递交截止时间：2019年6月14日上午9:30前（北京时间）；</w:t>
      </w:r>
    </w:p>
    <w:p>
      <w:pPr>
        <w:pStyle w:val="11"/>
        <w:spacing w:line="500" w:lineRule="exact"/>
        <w:ind w:firstLine="480"/>
        <w:rPr>
          <w:color w:val="000000"/>
        </w:rPr>
      </w:pPr>
      <w:r>
        <w:rPr>
          <w:rFonts w:hint="eastAsia"/>
          <w:color w:val="000000"/>
        </w:rPr>
        <w:t>2、响应文件递交地点：西安市未央区未央路60号老三届首座大厦18层A806室；</w:t>
      </w:r>
    </w:p>
    <w:p>
      <w:pPr>
        <w:pStyle w:val="11"/>
        <w:spacing w:line="500" w:lineRule="exact"/>
        <w:ind w:firstLine="480"/>
        <w:rPr>
          <w:color w:val="000000"/>
        </w:rPr>
      </w:pPr>
      <w:r>
        <w:rPr>
          <w:rFonts w:hint="eastAsia"/>
          <w:color w:val="000000"/>
        </w:rPr>
        <w:t>3、磋商时间：2019年6月14日上午9:30（北京时间）；</w:t>
      </w:r>
    </w:p>
    <w:p>
      <w:pPr>
        <w:pStyle w:val="11"/>
        <w:spacing w:line="500" w:lineRule="exact"/>
        <w:ind w:firstLine="480"/>
        <w:rPr>
          <w:color w:val="000000"/>
        </w:rPr>
      </w:pPr>
      <w:r>
        <w:rPr>
          <w:rFonts w:hint="eastAsia"/>
          <w:color w:val="000000"/>
        </w:rPr>
        <w:t>4、磋商地点：西安市未央区未央路</w:t>
      </w:r>
      <w:r>
        <w:rPr>
          <w:color w:val="000000"/>
        </w:rPr>
        <w:t>60</w:t>
      </w:r>
      <w:r>
        <w:rPr>
          <w:rFonts w:hint="eastAsia"/>
          <w:color w:val="000000"/>
        </w:rPr>
        <w:t>号老三届首座大厦</w:t>
      </w:r>
      <w:r>
        <w:rPr>
          <w:color w:val="000000"/>
        </w:rPr>
        <w:t>18</w:t>
      </w:r>
      <w:r>
        <w:rPr>
          <w:rFonts w:hint="eastAsia"/>
          <w:color w:val="000000"/>
        </w:rPr>
        <w:t>层</w:t>
      </w:r>
      <w:r>
        <w:rPr>
          <w:color w:val="000000"/>
        </w:rPr>
        <w:t>A806</w:t>
      </w:r>
      <w:r>
        <w:rPr>
          <w:rFonts w:hint="eastAsia"/>
          <w:color w:val="000000"/>
        </w:rPr>
        <w:t>室；</w:t>
      </w:r>
    </w:p>
    <w:p>
      <w:pPr>
        <w:pStyle w:val="11"/>
        <w:spacing w:line="500" w:lineRule="exact"/>
        <w:rPr>
          <w:rFonts w:ascii="ˎ̥" w:hAnsi="ˎ̥"/>
          <w:color w:val="000000"/>
          <w:sz w:val="18"/>
          <w:szCs w:val="18"/>
        </w:rPr>
      </w:pPr>
      <w:r>
        <w:rPr>
          <w:rFonts w:hint="eastAsia"/>
          <w:color w:val="000000"/>
        </w:rPr>
        <w:t>十、其他应说明的事项</w:t>
      </w:r>
      <w:r>
        <w:rPr>
          <w:rFonts w:ascii="ˎ̥" w:hAnsi="ˎ̥"/>
          <w:color w:val="000000"/>
          <w:sz w:val="18"/>
          <w:szCs w:val="18"/>
        </w:rPr>
        <w:t xml:space="preserve"> </w:t>
      </w:r>
    </w:p>
    <w:p>
      <w:pPr>
        <w:pStyle w:val="11"/>
        <w:spacing w:line="500" w:lineRule="exact"/>
        <w:ind w:firstLine="480" w:firstLineChars="200"/>
        <w:rPr>
          <w:rFonts w:ascii="ˎ̥" w:hAnsi="ˎ̥"/>
          <w:color w:val="000000"/>
          <w:sz w:val="18"/>
          <w:szCs w:val="18"/>
        </w:rPr>
      </w:pPr>
      <w:r>
        <w:rPr>
          <w:rFonts w:hint="eastAsia"/>
          <w:color w:val="000000"/>
        </w:rPr>
        <w:t>1、联系方式：裴建东     029-86450708</w:t>
      </w:r>
    </w:p>
    <w:p>
      <w:pPr>
        <w:pStyle w:val="11"/>
        <w:spacing w:line="500" w:lineRule="exact"/>
        <w:ind w:firstLine="480"/>
        <w:rPr>
          <w:rFonts w:ascii="ˎ̥" w:hAnsi="ˎ̥"/>
          <w:color w:val="000000"/>
          <w:sz w:val="18"/>
          <w:szCs w:val="18"/>
        </w:rPr>
      </w:pPr>
      <w:r>
        <w:rPr>
          <w:rFonts w:hint="eastAsia"/>
          <w:color w:val="000000"/>
        </w:rPr>
        <w:t>2、开户名称：陕西中财招标代理有限公司</w:t>
      </w:r>
    </w:p>
    <w:p>
      <w:pPr>
        <w:pStyle w:val="11"/>
        <w:spacing w:line="500" w:lineRule="exact"/>
        <w:ind w:firstLine="480" w:firstLineChars="200"/>
        <w:rPr>
          <w:rFonts w:ascii="ˎ̥" w:hAnsi="ˎ̥"/>
          <w:color w:val="000000"/>
          <w:sz w:val="18"/>
          <w:szCs w:val="18"/>
        </w:rPr>
      </w:pPr>
      <w:r>
        <w:rPr>
          <w:rFonts w:hint="eastAsia"/>
          <w:color w:val="000000"/>
        </w:rPr>
        <w:t>3、开户银行：招商银行股份有限公司西安城东支行</w:t>
      </w:r>
    </w:p>
    <w:p>
      <w:pPr>
        <w:pStyle w:val="11"/>
        <w:spacing w:line="500" w:lineRule="exact"/>
        <w:ind w:firstLine="480" w:firstLineChars="200"/>
        <w:rPr>
          <w:rFonts w:ascii="ˎ̥" w:hAnsi="ˎ̥"/>
          <w:color w:val="000000"/>
          <w:sz w:val="18"/>
          <w:szCs w:val="18"/>
        </w:rPr>
      </w:pPr>
      <w:r>
        <w:rPr>
          <w:rFonts w:hint="eastAsia"/>
          <w:color w:val="000000"/>
        </w:rPr>
        <w:t>4、账 号：</w:t>
      </w:r>
      <w:r>
        <w:rPr>
          <w:color w:val="000000"/>
        </w:rPr>
        <w:t>129907827510202</w:t>
      </w:r>
    </w:p>
    <w:p>
      <w:pPr>
        <w:pStyle w:val="11"/>
        <w:spacing w:line="500" w:lineRule="exact"/>
        <w:ind w:firstLine="480"/>
        <w:jc w:val="right"/>
        <w:rPr>
          <w:rFonts w:ascii="ˎ̥" w:hAnsi="ˎ̥"/>
          <w:color w:val="000000"/>
          <w:sz w:val="18"/>
          <w:szCs w:val="18"/>
        </w:rPr>
      </w:pPr>
      <w:r>
        <w:rPr>
          <w:rFonts w:hint="eastAsia"/>
          <w:color w:val="000000"/>
        </w:rPr>
        <w:t>陕西中财招标代理有限公司</w:t>
      </w:r>
      <w:r>
        <w:rPr>
          <w:rFonts w:ascii="ˎ̥" w:hAnsi="ˎ̥"/>
          <w:color w:val="000000"/>
          <w:sz w:val="18"/>
          <w:szCs w:val="18"/>
        </w:rPr>
        <w:t xml:space="preserve"> </w:t>
      </w:r>
    </w:p>
    <w:p>
      <w:pPr>
        <w:pStyle w:val="11"/>
        <w:spacing w:line="500" w:lineRule="exact"/>
        <w:jc w:val="right"/>
        <w:rPr>
          <w:rFonts w:cs="Tahoma"/>
        </w:rPr>
      </w:pPr>
      <w:r>
        <w:rPr>
          <w:rFonts w:hint="eastAsia" w:cs="Tahoma"/>
        </w:rPr>
        <w:t>2019年6月3日</w:t>
      </w: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11"/>
        <w:spacing w:line="360" w:lineRule="auto"/>
        <w:ind w:firstLine="480"/>
        <w:jc w:val="right"/>
        <w:rPr>
          <w:rFonts w:ascii="ˎ̥" w:hAnsi="ˎ̥"/>
          <w:color w:val="000000"/>
          <w:sz w:val="18"/>
          <w:szCs w:val="18"/>
        </w:rPr>
      </w:pPr>
    </w:p>
    <w:p>
      <w:pPr>
        <w:pStyle w:val="3"/>
        <w:numPr>
          <w:ilvl w:val="0"/>
          <w:numId w:val="2"/>
        </w:numPr>
      </w:pPr>
      <w:bookmarkStart w:id="5" w:name="_Toc20542"/>
      <w:bookmarkStart w:id="6" w:name="_Toc27526"/>
      <w:r>
        <w:rPr>
          <w:rFonts w:hint="eastAsia"/>
        </w:rPr>
        <w:t>供应商须知</w:t>
      </w:r>
      <w:bookmarkEnd w:id="5"/>
      <w:bookmarkEnd w:id="6"/>
    </w:p>
    <w:p>
      <w:pPr>
        <w:pStyle w:val="4"/>
        <w:spacing w:before="0" w:after="0" w:line="560" w:lineRule="exact"/>
        <w:jc w:val="center"/>
        <w:rPr>
          <w:rFonts w:ascii="宋体" w:hAnsi="宋体" w:eastAsia="宋体"/>
          <w:sz w:val="28"/>
          <w:szCs w:val="28"/>
        </w:rPr>
      </w:pPr>
      <w:bookmarkStart w:id="7" w:name="_Toc30624"/>
      <w:bookmarkStart w:id="8" w:name="_Toc7032"/>
      <w:r>
        <w:rPr>
          <w:rFonts w:hint="eastAsia" w:ascii="宋体" w:hAnsi="宋体" w:eastAsia="宋体"/>
          <w:sz w:val="28"/>
          <w:szCs w:val="28"/>
        </w:rPr>
        <w:t>供应商须知前附表</w:t>
      </w:r>
      <w:bookmarkEnd w:id="7"/>
      <w:bookmarkEnd w:id="8"/>
    </w:p>
    <w:p>
      <w:pPr>
        <w:jc w:val="center"/>
        <w:rPr>
          <w:rFonts w:ascii="宋体" w:hAnsi="宋体"/>
          <w:b/>
          <w:sz w:val="15"/>
          <w:szCs w:val="15"/>
        </w:rPr>
      </w:pPr>
    </w:p>
    <w:tbl>
      <w:tblPr>
        <w:tblStyle w:val="1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09" w:type="dxa"/>
            <w:vAlign w:val="center"/>
          </w:tcPr>
          <w:p>
            <w:pPr>
              <w:jc w:val="center"/>
              <w:rPr>
                <w:rFonts w:ascii="宋体" w:hAnsi="宋体"/>
                <w:b/>
                <w:szCs w:val="24"/>
              </w:rPr>
            </w:pPr>
            <w:r>
              <w:rPr>
                <w:rFonts w:hint="eastAsia" w:ascii="宋体" w:hAnsi="宋体"/>
                <w:b/>
                <w:szCs w:val="24"/>
              </w:rPr>
              <w:t>序号</w:t>
            </w:r>
          </w:p>
        </w:tc>
        <w:tc>
          <w:tcPr>
            <w:tcW w:w="2552" w:type="dxa"/>
            <w:vAlign w:val="center"/>
          </w:tcPr>
          <w:p>
            <w:pPr>
              <w:jc w:val="center"/>
              <w:rPr>
                <w:rFonts w:ascii="宋体" w:hAnsi="宋体"/>
                <w:b/>
                <w:szCs w:val="24"/>
              </w:rPr>
            </w:pPr>
            <w:r>
              <w:rPr>
                <w:rFonts w:hint="eastAsia" w:ascii="宋体" w:hAnsi="宋体"/>
                <w:b/>
                <w:szCs w:val="24"/>
              </w:rPr>
              <w:t>条款名称</w:t>
            </w:r>
          </w:p>
        </w:tc>
        <w:tc>
          <w:tcPr>
            <w:tcW w:w="6662" w:type="dxa"/>
            <w:vAlign w:val="center"/>
          </w:tcPr>
          <w:p>
            <w:pPr>
              <w:jc w:val="center"/>
              <w:rPr>
                <w:rFonts w:ascii="宋体" w:hAnsi="宋体"/>
                <w:b/>
                <w:szCs w:val="24"/>
              </w:rPr>
            </w:pPr>
            <w:r>
              <w:rPr>
                <w:rFonts w:hint="eastAsia" w:ascii="宋体" w:hAnsi="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w:t>
            </w:r>
          </w:p>
        </w:tc>
        <w:tc>
          <w:tcPr>
            <w:tcW w:w="2552" w:type="dxa"/>
            <w:vAlign w:val="center"/>
          </w:tcPr>
          <w:p>
            <w:pPr>
              <w:spacing w:line="400" w:lineRule="exact"/>
              <w:jc w:val="center"/>
              <w:rPr>
                <w:rFonts w:ascii="宋体" w:hAnsi="宋体"/>
                <w:szCs w:val="24"/>
              </w:rPr>
            </w:pPr>
            <w:r>
              <w:rPr>
                <w:rFonts w:hint="eastAsia" w:ascii="宋体" w:hAnsi="宋体"/>
                <w:szCs w:val="24"/>
              </w:rPr>
              <w:t>采购人</w:t>
            </w:r>
          </w:p>
        </w:tc>
        <w:tc>
          <w:tcPr>
            <w:tcW w:w="6662" w:type="dxa"/>
          </w:tcPr>
          <w:p>
            <w:pPr>
              <w:spacing w:line="420" w:lineRule="exact"/>
              <w:rPr>
                <w:rFonts w:ascii="宋体" w:hAnsi="宋体"/>
                <w:szCs w:val="24"/>
              </w:rPr>
            </w:pPr>
            <w:r>
              <w:rPr>
                <w:rFonts w:hint="eastAsia" w:ascii="宋体" w:hAnsi="宋体"/>
                <w:szCs w:val="24"/>
              </w:rPr>
              <w:t>名称：陕西学前师范学院</w:t>
            </w:r>
          </w:p>
          <w:p>
            <w:pPr>
              <w:spacing w:line="420" w:lineRule="exact"/>
              <w:rPr>
                <w:rFonts w:ascii="宋体" w:hAnsi="宋体"/>
                <w:szCs w:val="24"/>
              </w:rPr>
            </w:pPr>
            <w:r>
              <w:rPr>
                <w:rFonts w:hint="eastAsia" w:ascii="宋体" w:hAnsi="宋体"/>
                <w:szCs w:val="24"/>
              </w:rPr>
              <w:t xml:space="preserve">地    址：西安市长安区神禾二路        </w:t>
            </w:r>
          </w:p>
          <w:p>
            <w:pPr>
              <w:spacing w:line="420" w:lineRule="exact"/>
              <w:rPr>
                <w:rFonts w:ascii="宋体" w:hAnsi="宋体"/>
                <w:szCs w:val="24"/>
              </w:rPr>
            </w:pPr>
            <w:r>
              <w:rPr>
                <w:rFonts w:hint="eastAsia" w:ascii="宋体" w:hAnsi="宋体"/>
                <w:szCs w:val="24"/>
              </w:rPr>
              <w:t>联系方式：韩老师  029-81530065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w:t>
            </w:r>
          </w:p>
        </w:tc>
        <w:tc>
          <w:tcPr>
            <w:tcW w:w="2552" w:type="dxa"/>
            <w:vAlign w:val="center"/>
          </w:tcPr>
          <w:p>
            <w:pPr>
              <w:spacing w:line="400" w:lineRule="exact"/>
              <w:jc w:val="center"/>
              <w:rPr>
                <w:rFonts w:ascii="宋体" w:hAnsi="宋体"/>
                <w:szCs w:val="24"/>
              </w:rPr>
            </w:pPr>
            <w:r>
              <w:rPr>
                <w:rFonts w:hint="eastAsia" w:ascii="宋体" w:hAnsi="宋体"/>
                <w:szCs w:val="24"/>
              </w:rPr>
              <w:t>采购代理机构</w:t>
            </w:r>
          </w:p>
        </w:tc>
        <w:tc>
          <w:tcPr>
            <w:tcW w:w="6662" w:type="dxa"/>
          </w:tcPr>
          <w:p>
            <w:pPr>
              <w:spacing w:line="420" w:lineRule="exact"/>
              <w:rPr>
                <w:rFonts w:ascii="宋体" w:hAnsi="宋体"/>
                <w:szCs w:val="24"/>
              </w:rPr>
            </w:pPr>
            <w:r>
              <w:rPr>
                <w:rFonts w:hint="eastAsia" w:ascii="宋体" w:hAnsi="宋体"/>
                <w:szCs w:val="24"/>
              </w:rPr>
              <w:t>名称：陕西中财招标代理有限公司</w:t>
            </w:r>
          </w:p>
          <w:p>
            <w:pPr>
              <w:spacing w:line="420" w:lineRule="exact"/>
              <w:rPr>
                <w:rFonts w:ascii="宋体" w:hAnsi="宋体"/>
                <w:szCs w:val="24"/>
              </w:rPr>
            </w:pPr>
            <w:r>
              <w:rPr>
                <w:rFonts w:hint="eastAsia" w:ascii="宋体" w:hAnsi="宋体"/>
                <w:szCs w:val="24"/>
              </w:rPr>
              <w:t xml:space="preserve">地址：西安市未央区老三届首座大厦18层A802室 </w:t>
            </w:r>
          </w:p>
          <w:p>
            <w:pPr>
              <w:spacing w:line="420" w:lineRule="exact"/>
              <w:rPr>
                <w:rFonts w:ascii="宋体" w:hAnsi="宋体"/>
                <w:szCs w:val="24"/>
              </w:rPr>
            </w:pPr>
            <w:r>
              <w:rPr>
                <w:rFonts w:hint="eastAsia" w:ascii="宋体" w:hAnsi="宋体"/>
                <w:szCs w:val="24"/>
              </w:rPr>
              <w:t>联系人：裴建东</w:t>
            </w:r>
          </w:p>
          <w:p>
            <w:pPr>
              <w:spacing w:line="420" w:lineRule="exact"/>
              <w:rPr>
                <w:rFonts w:ascii="宋体" w:hAnsi="宋体"/>
                <w:szCs w:val="24"/>
              </w:rPr>
            </w:pPr>
            <w:r>
              <w:rPr>
                <w:rFonts w:hint="eastAsia" w:ascii="宋体" w:hAnsi="宋体"/>
                <w:szCs w:val="24"/>
              </w:rPr>
              <w:t>电话：029-86450708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3</w:t>
            </w:r>
          </w:p>
        </w:tc>
        <w:tc>
          <w:tcPr>
            <w:tcW w:w="2552" w:type="dxa"/>
            <w:vAlign w:val="center"/>
          </w:tcPr>
          <w:p>
            <w:pPr>
              <w:spacing w:line="400" w:lineRule="exact"/>
              <w:jc w:val="center"/>
              <w:rPr>
                <w:rFonts w:ascii="宋体" w:hAnsi="宋体"/>
                <w:szCs w:val="24"/>
              </w:rPr>
            </w:pPr>
            <w:r>
              <w:rPr>
                <w:rFonts w:hint="eastAsia" w:ascii="宋体" w:hAnsi="宋体"/>
                <w:szCs w:val="24"/>
              </w:rPr>
              <w:t>监督管理机构</w:t>
            </w:r>
          </w:p>
        </w:tc>
        <w:tc>
          <w:tcPr>
            <w:tcW w:w="6662" w:type="dxa"/>
          </w:tcPr>
          <w:p>
            <w:pPr>
              <w:spacing w:line="420" w:lineRule="exact"/>
              <w:rPr>
                <w:rFonts w:ascii="宋体" w:hAnsi="宋体"/>
                <w:szCs w:val="24"/>
              </w:rPr>
            </w:pPr>
            <w:r>
              <w:rPr>
                <w:rFonts w:hint="eastAsia" w:ascii="宋体" w:hAnsi="宋体"/>
                <w:szCs w:val="24"/>
              </w:rPr>
              <w:t>陕西省财政厅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Align w:val="center"/>
          </w:tcPr>
          <w:p>
            <w:pPr>
              <w:jc w:val="center"/>
              <w:rPr>
                <w:rFonts w:ascii="宋体" w:hAnsi="宋体"/>
                <w:szCs w:val="24"/>
              </w:rPr>
            </w:pPr>
            <w:r>
              <w:rPr>
                <w:rFonts w:hint="eastAsia" w:ascii="宋体" w:hAnsi="宋体"/>
                <w:szCs w:val="24"/>
              </w:rPr>
              <w:t>4</w:t>
            </w:r>
          </w:p>
        </w:tc>
        <w:tc>
          <w:tcPr>
            <w:tcW w:w="2552" w:type="dxa"/>
            <w:vAlign w:val="center"/>
          </w:tcPr>
          <w:p>
            <w:pPr>
              <w:spacing w:line="400" w:lineRule="exact"/>
              <w:jc w:val="center"/>
              <w:rPr>
                <w:rFonts w:ascii="宋体" w:hAnsi="宋体"/>
                <w:szCs w:val="24"/>
              </w:rPr>
            </w:pPr>
            <w:r>
              <w:rPr>
                <w:rFonts w:hint="eastAsia" w:ascii="宋体" w:hAnsi="宋体"/>
                <w:szCs w:val="24"/>
              </w:rPr>
              <w:t>项目名称</w:t>
            </w:r>
          </w:p>
        </w:tc>
        <w:tc>
          <w:tcPr>
            <w:tcW w:w="6662" w:type="dxa"/>
          </w:tcPr>
          <w:p>
            <w:pPr>
              <w:spacing w:line="420" w:lineRule="exact"/>
              <w:rPr>
                <w:rFonts w:ascii="宋体" w:hAnsi="宋体"/>
                <w:szCs w:val="24"/>
              </w:rPr>
            </w:pPr>
            <w:r>
              <w:rPr>
                <w:rFonts w:hint="eastAsia" w:ascii="宋体" w:hAnsi="宋体"/>
                <w:szCs w:val="24"/>
              </w:rPr>
              <w:t>陕西学前师范学院体质评价与运动干预实践教学创新平台建设项目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5</w:t>
            </w:r>
          </w:p>
        </w:tc>
        <w:tc>
          <w:tcPr>
            <w:tcW w:w="2552" w:type="dxa"/>
            <w:vAlign w:val="center"/>
          </w:tcPr>
          <w:p>
            <w:pPr>
              <w:spacing w:line="400" w:lineRule="exact"/>
              <w:jc w:val="center"/>
              <w:rPr>
                <w:rFonts w:ascii="宋体" w:hAnsi="宋体"/>
                <w:szCs w:val="24"/>
              </w:rPr>
            </w:pPr>
            <w:r>
              <w:rPr>
                <w:rFonts w:hint="eastAsia" w:ascii="宋体" w:hAnsi="宋体"/>
                <w:szCs w:val="24"/>
              </w:rPr>
              <w:t>项目编号</w:t>
            </w:r>
          </w:p>
        </w:tc>
        <w:tc>
          <w:tcPr>
            <w:tcW w:w="6662" w:type="dxa"/>
          </w:tcPr>
          <w:p>
            <w:pPr>
              <w:spacing w:line="420" w:lineRule="exact"/>
              <w:rPr>
                <w:rFonts w:ascii="宋体" w:hAnsi="宋体"/>
                <w:szCs w:val="24"/>
              </w:rPr>
            </w:pPr>
            <w:r>
              <w:rPr>
                <w:rFonts w:hint="eastAsia" w:ascii="宋体" w:hAnsi="宋体"/>
                <w:szCs w:val="24"/>
              </w:rPr>
              <w:t>SXZC-ZB-2019033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6</w:t>
            </w:r>
          </w:p>
        </w:tc>
        <w:tc>
          <w:tcPr>
            <w:tcW w:w="2552" w:type="dxa"/>
            <w:vAlign w:val="center"/>
          </w:tcPr>
          <w:p>
            <w:pPr>
              <w:spacing w:line="400" w:lineRule="exact"/>
              <w:jc w:val="center"/>
              <w:rPr>
                <w:rFonts w:ascii="宋体" w:hAnsi="宋体"/>
                <w:szCs w:val="24"/>
              </w:rPr>
            </w:pPr>
            <w:r>
              <w:rPr>
                <w:rFonts w:hint="eastAsia" w:ascii="宋体" w:hAnsi="宋体"/>
                <w:szCs w:val="24"/>
              </w:rPr>
              <w:t>资金性质</w:t>
            </w:r>
          </w:p>
        </w:tc>
        <w:tc>
          <w:tcPr>
            <w:tcW w:w="6662" w:type="dxa"/>
          </w:tcPr>
          <w:p>
            <w:pPr>
              <w:spacing w:line="420" w:lineRule="exact"/>
              <w:rPr>
                <w:rFonts w:ascii="宋体" w:hAnsi="宋体"/>
                <w:szCs w:val="24"/>
              </w:rPr>
            </w:pPr>
            <w:r>
              <w:rPr>
                <w:rFonts w:hint="eastAsia" w:ascii="宋体" w:hAnsi="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7</w:t>
            </w:r>
          </w:p>
        </w:tc>
        <w:tc>
          <w:tcPr>
            <w:tcW w:w="2552" w:type="dxa"/>
            <w:vAlign w:val="center"/>
          </w:tcPr>
          <w:p>
            <w:pPr>
              <w:spacing w:line="400" w:lineRule="exact"/>
              <w:jc w:val="center"/>
              <w:rPr>
                <w:rFonts w:ascii="宋体" w:hAnsi="宋体"/>
                <w:szCs w:val="24"/>
              </w:rPr>
            </w:pPr>
            <w:r>
              <w:rPr>
                <w:rFonts w:hint="eastAsia" w:ascii="宋体" w:hAnsi="宋体"/>
                <w:szCs w:val="24"/>
              </w:rPr>
              <w:t>项目预算</w:t>
            </w:r>
          </w:p>
        </w:tc>
        <w:tc>
          <w:tcPr>
            <w:tcW w:w="6662" w:type="dxa"/>
          </w:tcPr>
          <w:p>
            <w:pPr>
              <w:spacing w:line="420" w:lineRule="exact"/>
              <w:rPr>
                <w:rFonts w:ascii="宋体" w:hAnsi="宋体"/>
                <w:szCs w:val="24"/>
              </w:rPr>
            </w:pPr>
            <w:r>
              <w:rPr>
                <w:rFonts w:hint="eastAsia" w:ascii="宋体" w:hAnsi="宋体" w:cs="仿宋_GB2312"/>
                <w:szCs w:val="24"/>
              </w:rPr>
              <w:t>人民币壹佰贰拾捌万肆仟玖佰玖拾元整，（¥128.499万元）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8</w:t>
            </w:r>
          </w:p>
        </w:tc>
        <w:tc>
          <w:tcPr>
            <w:tcW w:w="2552" w:type="dxa"/>
            <w:vAlign w:val="center"/>
          </w:tcPr>
          <w:p>
            <w:pPr>
              <w:spacing w:line="400" w:lineRule="exact"/>
              <w:jc w:val="center"/>
              <w:rPr>
                <w:rFonts w:ascii="宋体" w:hAnsi="宋体"/>
                <w:szCs w:val="24"/>
              </w:rPr>
            </w:pPr>
            <w:r>
              <w:rPr>
                <w:rFonts w:hint="eastAsia" w:ascii="宋体" w:hAnsi="宋体"/>
                <w:szCs w:val="24"/>
              </w:rPr>
              <w:t>项目用途</w:t>
            </w:r>
          </w:p>
        </w:tc>
        <w:tc>
          <w:tcPr>
            <w:tcW w:w="6662" w:type="dxa"/>
          </w:tcPr>
          <w:p>
            <w:pPr>
              <w:spacing w:line="420" w:lineRule="exact"/>
              <w:rPr>
                <w:rFonts w:ascii="宋体" w:hAnsi="宋体"/>
                <w:szCs w:val="24"/>
              </w:rPr>
            </w:pPr>
            <w:r>
              <w:rPr>
                <w:rFonts w:hint="eastAsia" w:ascii="宋体" w:hAnsi="宋体"/>
                <w:szCs w:val="24"/>
              </w:rPr>
              <w:t>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9</w:t>
            </w:r>
          </w:p>
        </w:tc>
        <w:tc>
          <w:tcPr>
            <w:tcW w:w="2552" w:type="dxa"/>
            <w:vAlign w:val="center"/>
          </w:tcPr>
          <w:p>
            <w:pPr>
              <w:spacing w:line="400" w:lineRule="exact"/>
              <w:jc w:val="center"/>
              <w:rPr>
                <w:rFonts w:ascii="宋体" w:hAnsi="宋体"/>
                <w:szCs w:val="24"/>
              </w:rPr>
            </w:pPr>
            <w:r>
              <w:rPr>
                <w:rFonts w:hint="eastAsia" w:ascii="宋体" w:hAnsi="宋体"/>
                <w:szCs w:val="24"/>
              </w:rPr>
              <w:t>采购内容和要求</w:t>
            </w:r>
          </w:p>
        </w:tc>
        <w:tc>
          <w:tcPr>
            <w:tcW w:w="6662" w:type="dxa"/>
          </w:tcPr>
          <w:p>
            <w:pPr>
              <w:pStyle w:val="16"/>
              <w:spacing w:line="440" w:lineRule="exact"/>
              <w:ind w:firstLine="0" w:firstLineChars="0"/>
              <w:rPr>
                <w:rFonts w:ascii="宋体" w:hAnsi="宋体"/>
                <w:kern w:val="2"/>
                <w:sz w:val="24"/>
                <w:szCs w:val="24"/>
              </w:rPr>
            </w:pPr>
            <w:r>
              <w:rPr>
                <w:rFonts w:hint="eastAsia" w:ascii="宋体" w:hAnsi="宋体"/>
                <w:sz w:val="24"/>
              </w:rPr>
              <w:t>体质评价与运动干预实践教学创新平台建设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10</w:t>
            </w:r>
          </w:p>
        </w:tc>
        <w:tc>
          <w:tcPr>
            <w:tcW w:w="2552" w:type="dxa"/>
            <w:vAlign w:val="center"/>
          </w:tcPr>
          <w:p>
            <w:pPr>
              <w:spacing w:line="480" w:lineRule="exact"/>
              <w:jc w:val="center"/>
              <w:rPr>
                <w:rFonts w:ascii="宋体" w:hAnsi="宋体"/>
                <w:szCs w:val="24"/>
              </w:rPr>
            </w:pPr>
            <w:r>
              <w:rPr>
                <w:rFonts w:hint="eastAsia" w:ascii="宋体" w:hAnsi="宋体"/>
                <w:szCs w:val="24"/>
              </w:rPr>
              <w:t>供应商</w:t>
            </w:r>
          </w:p>
        </w:tc>
        <w:tc>
          <w:tcPr>
            <w:tcW w:w="6662" w:type="dxa"/>
          </w:tcPr>
          <w:p>
            <w:pPr>
              <w:spacing w:line="420" w:lineRule="exact"/>
              <w:rPr>
                <w:rFonts w:ascii="宋体" w:hAnsi="宋体"/>
                <w:szCs w:val="24"/>
              </w:rPr>
            </w:pPr>
            <w:r>
              <w:rPr>
                <w:rFonts w:hint="eastAsia" w:ascii="宋体" w:hAnsi="宋体"/>
                <w:szCs w:val="24"/>
              </w:rPr>
              <w:t>响应</w:t>
            </w:r>
            <w:r>
              <w:fldChar w:fldCharType="begin"/>
            </w:r>
            <w:r>
              <w:instrText xml:space="preserve"> HYPERLINK "http://baike.baidu.com/view/8707.htm" \t "_blank" </w:instrText>
            </w:r>
            <w:r>
              <w:fldChar w:fldCharType="separate"/>
            </w:r>
            <w:r>
              <w:rPr>
                <w:rFonts w:hint="eastAsia" w:ascii="宋体" w:hAnsi="宋体"/>
                <w:szCs w:val="24"/>
              </w:rPr>
              <w:t>招标</w:t>
            </w:r>
            <w:r>
              <w:rPr>
                <w:rFonts w:hint="eastAsia" w:ascii="宋体" w:hAnsi="宋体"/>
                <w:szCs w:val="24"/>
              </w:rPr>
              <w:fldChar w:fldCharType="end"/>
            </w:r>
            <w:r>
              <w:rPr>
                <w:rFonts w:hint="eastAsia" w:ascii="宋体" w:hAnsi="宋体"/>
                <w:szCs w:val="24"/>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11</w:t>
            </w:r>
          </w:p>
        </w:tc>
        <w:tc>
          <w:tcPr>
            <w:tcW w:w="2552" w:type="dxa"/>
            <w:vAlign w:val="center"/>
          </w:tcPr>
          <w:p>
            <w:pPr>
              <w:spacing w:line="480" w:lineRule="exact"/>
              <w:jc w:val="center"/>
              <w:rPr>
                <w:rFonts w:ascii="宋体" w:hAnsi="宋体"/>
                <w:szCs w:val="24"/>
              </w:rPr>
            </w:pPr>
            <w:r>
              <w:rPr>
                <w:rFonts w:hint="eastAsia" w:ascii="宋体" w:hAnsi="宋体"/>
                <w:szCs w:val="24"/>
              </w:rPr>
              <w:t>供应商资格要求</w:t>
            </w:r>
          </w:p>
        </w:tc>
        <w:tc>
          <w:tcPr>
            <w:tcW w:w="6662" w:type="dxa"/>
          </w:tcPr>
          <w:p>
            <w:pPr>
              <w:pStyle w:val="11"/>
              <w:spacing w:line="500" w:lineRule="exact"/>
              <w:rPr>
                <w:color w:val="000000"/>
              </w:rPr>
            </w:pPr>
            <w:r>
              <w:rPr>
                <w:rFonts w:hint="eastAsia"/>
                <w:color w:val="000000"/>
              </w:rPr>
              <w:t xml:space="preserve">投标人除具有《中华人民共和国政府采购法》第二十二条规定的相关条件外，还应具备以下条件： </w:t>
            </w:r>
          </w:p>
          <w:p>
            <w:pPr>
              <w:spacing w:line="500" w:lineRule="exact"/>
              <w:rPr>
                <w:color w:val="000000"/>
              </w:rPr>
            </w:pPr>
            <w:r>
              <w:rPr>
                <w:rFonts w:hint="eastAsia"/>
                <w:color w:val="000000"/>
              </w:rPr>
              <w:t>1、合法注册的法人应提供营业执照（或事业法人证）、组织机构代码证、税务登记证（提供年检证明文件）或统一社会信用代码的营业执照（提供2017年或2018年企业信息公示年度报告）或其他组织应提供合法证明文件或自然人提供身份证件；</w:t>
            </w:r>
          </w:p>
          <w:p>
            <w:pPr>
              <w:spacing w:line="500" w:lineRule="exact"/>
              <w:rPr>
                <w:color w:val="000000"/>
              </w:rPr>
            </w:pPr>
            <w:r>
              <w:rPr>
                <w:rFonts w:hint="eastAsia"/>
                <w:color w:val="000000"/>
              </w:rPr>
              <w:t>2、供应商应具有独立承担民事责任的能力且具备向采购人提供相关服务的企业法人、事业法人或其他组织，供应商应授权合法的人员参加投标全过程，其中法定代表人直接参加投标的，须出具法定代表人身份证，并与营业执照上信息一致；法定代表人授权代表参加投标的，须出具法定代表人授权书及授权代表身份证以及本单位证明（劳动合同或社保证明）；</w:t>
            </w:r>
          </w:p>
          <w:p>
            <w:pPr>
              <w:spacing w:line="500" w:lineRule="exact"/>
              <w:rPr>
                <w:color w:val="000000"/>
              </w:rPr>
            </w:pPr>
            <w:r>
              <w:rPr>
                <w:rFonts w:hint="eastAsia"/>
                <w:color w:val="000000"/>
              </w:rPr>
              <w:t>3、提供采购代理机构出具的投标保证金收据或担保机构出具的保函；</w:t>
            </w:r>
          </w:p>
          <w:p>
            <w:pPr>
              <w:spacing w:line="500" w:lineRule="exact"/>
              <w:rPr>
                <w:color w:val="000000"/>
                <w:szCs w:val="22"/>
              </w:rPr>
            </w:pPr>
            <w:r>
              <w:rPr>
                <w:rFonts w:hint="eastAsia"/>
                <w:color w:val="000000"/>
                <w:szCs w:val="22"/>
              </w:rPr>
              <w:t>4、供应商为生产厂家的须提供医疗器械生产许可证和所投产品的医疗器械产品注册证；供应商为代理经销商的须提供医疗器械经营许可证和所投产品的医疗器械产品注册证（换证期间须提供相关管理机构的证明文件）；若为进口产品需提供“进”字号注册证及产品授权书。</w:t>
            </w:r>
          </w:p>
          <w:p>
            <w:pPr>
              <w:spacing w:line="500" w:lineRule="exact"/>
              <w:rPr>
                <w:color w:val="000000"/>
              </w:rPr>
            </w:pPr>
            <w:r>
              <w:rPr>
                <w:rFonts w:hint="eastAsia"/>
                <w:color w:val="000000"/>
              </w:rPr>
              <w:t>5、供应商不得为“中华人民共和国最高人民法院”网站（www.court.gov.cn）被列入失信被执行人名单的供应商，“信用中国”网站（www.creditchina.gov.cn）中被列入重大税收违法案件当事人名单的供应商，中国政府采购网（www.ccgp.gov.cn）政府采购严重违法失信行为记录名单中被财政部门禁止参加政府采购活动的供应商（提供以上查询结果网页截图），并提供参加政府采购活动前3年内在经营活动中没有重大违法记录的书面声明。</w:t>
            </w:r>
          </w:p>
          <w:p>
            <w:pPr>
              <w:spacing w:line="500" w:lineRule="exact"/>
              <w:rPr>
                <w:rFonts w:ascii="宋体" w:hAnsi="宋体"/>
                <w:szCs w:val="24"/>
              </w:rPr>
            </w:pPr>
            <w:r>
              <w:rPr>
                <w:rFonts w:hint="eastAsia" w:ascii="宋体" w:hAnsi="宋体"/>
              </w:rPr>
              <w:t>注：本项目不接受联合体磋商。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09" w:type="dxa"/>
            <w:vAlign w:val="center"/>
          </w:tcPr>
          <w:p>
            <w:pPr>
              <w:jc w:val="center"/>
              <w:rPr>
                <w:rFonts w:ascii="宋体" w:hAnsi="宋体"/>
                <w:szCs w:val="24"/>
              </w:rPr>
            </w:pPr>
            <w:r>
              <w:rPr>
                <w:rFonts w:hint="eastAsia" w:ascii="宋体" w:hAnsi="宋体"/>
                <w:szCs w:val="24"/>
              </w:rPr>
              <w:t>12</w:t>
            </w:r>
          </w:p>
        </w:tc>
        <w:tc>
          <w:tcPr>
            <w:tcW w:w="2552" w:type="dxa"/>
            <w:vAlign w:val="center"/>
          </w:tcPr>
          <w:p>
            <w:pPr>
              <w:spacing w:line="400" w:lineRule="exact"/>
              <w:jc w:val="center"/>
              <w:rPr>
                <w:rFonts w:ascii="宋体" w:hAnsi="宋体"/>
                <w:szCs w:val="24"/>
              </w:rPr>
            </w:pPr>
            <w:r>
              <w:rPr>
                <w:rFonts w:hint="eastAsia" w:ascii="宋体" w:hAnsi="宋体"/>
                <w:szCs w:val="24"/>
              </w:rPr>
              <w:t>交货期</w:t>
            </w:r>
          </w:p>
        </w:tc>
        <w:tc>
          <w:tcPr>
            <w:tcW w:w="6662" w:type="dxa"/>
          </w:tcPr>
          <w:p>
            <w:pPr>
              <w:spacing w:line="420" w:lineRule="exact"/>
              <w:rPr>
                <w:rFonts w:ascii="宋体" w:hAnsi="宋体"/>
                <w:szCs w:val="24"/>
              </w:rPr>
            </w:pPr>
            <w:r>
              <w:rPr>
                <w:rFonts w:hint="eastAsia" w:ascii="宋体" w:hAnsi="宋体"/>
                <w:szCs w:val="24"/>
              </w:rPr>
              <w:t>自</w:t>
            </w:r>
            <w:r>
              <w:rPr>
                <w:rFonts w:ascii="宋体" w:hAnsi="宋体"/>
                <w:szCs w:val="24"/>
              </w:rPr>
              <w:t>合同签订后</w:t>
            </w:r>
            <w:r>
              <w:rPr>
                <w:rFonts w:hint="eastAsia" w:ascii="宋体" w:hAnsi="宋体"/>
                <w:b/>
                <w:bCs/>
                <w:szCs w:val="24"/>
              </w:rPr>
              <w:t>30个日历日内</w:t>
            </w: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09" w:type="dxa"/>
            <w:vAlign w:val="center"/>
          </w:tcPr>
          <w:p>
            <w:pPr>
              <w:jc w:val="center"/>
              <w:rPr>
                <w:rFonts w:ascii="宋体" w:hAnsi="宋体"/>
                <w:szCs w:val="24"/>
              </w:rPr>
            </w:pPr>
            <w:r>
              <w:rPr>
                <w:rFonts w:hint="eastAsia" w:ascii="宋体" w:hAnsi="宋体"/>
                <w:szCs w:val="24"/>
              </w:rPr>
              <w:t>13</w:t>
            </w:r>
          </w:p>
        </w:tc>
        <w:tc>
          <w:tcPr>
            <w:tcW w:w="2552" w:type="dxa"/>
            <w:vAlign w:val="center"/>
          </w:tcPr>
          <w:p>
            <w:pPr>
              <w:spacing w:line="400" w:lineRule="exact"/>
              <w:jc w:val="center"/>
              <w:rPr>
                <w:rFonts w:ascii="宋体" w:hAnsi="宋体"/>
                <w:szCs w:val="24"/>
              </w:rPr>
            </w:pPr>
            <w:r>
              <w:rPr>
                <w:rFonts w:hint="eastAsia" w:ascii="宋体" w:hAnsi="宋体"/>
                <w:szCs w:val="24"/>
              </w:rPr>
              <w:t>质保期</w:t>
            </w:r>
          </w:p>
        </w:tc>
        <w:tc>
          <w:tcPr>
            <w:tcW w:w="6662" w:type="dxa"/>
          </w:tcPr>
          <w:p>
            <w:pPr>
              <w:spacing w:line="420" w:lineRule="exact"/>
              <w:rPr>
                <w:rFonts w:ascii="宋体" w:hAnsi="宋体"/>
                <w:szCs w:val="24"/>
              </w:rPr>
            </w:pPr>
            <w:r>
              <w:rPr>
                <w:rFonts w:hint="eastAsia" w:ascii="宋体" w:hAnsi="宋体"/>
                <w:szCs w:val="24"/>
              </w:rPr>
              <w:t>所有仪器设备均包括免费安装调试和使用培训,质保时间为</w:t>
            </w:r>
            <w:r>
              <w:rPr>
                <w:rFonts w:hint="eastAsia" w:ascii="宋体" w:hAnsi="宋体"/>
                <w:b/>
                <w:bCs/>
                <w:szCs w:val="24"/>
              </w:rPr>
              <w:t>5年</w:t>
            </w:r>
            <w:r>
              <w:rPr>
                <w:rFonts w:hint="eastAsia" w:ascii="宋体" w:hAnsi="宋体"/>
                <w:szCs w:val="24"/>
              </w:rPr>
              <w:t>。质保期内需供货方提供</w:t>
            </w:r>
            <w:r>
              <w:rPr>
                <w:rFonts w:hint="eastAsia" w:ascii="宋体" w:hAnsi="宋体"/>
                <w:b/>
                <w:bCs/>
                <w:szCs w:val="24"/>
              </w:rPr>
              <w:t>一年至少2次</w:t>
            </w:r>
            <w:r>
              <w:rPr>
                <w:rFonts w:hint="eastAsia" w:ascii="宋体" w:hAnsi="宋体"/>
                <w:szCs w:val="24"/>
              </w:rPr>
              <w:t>定期维护与保养，</w:t>
            </w:r>
            <w:r>
              <w:rPr>
                <w:rFonts w:hint="eastAsia" w:ascii="宋体" w:hAnsi="宋体"/>
                <w:b/>
                <w:bCs/>
                <w:szCs w:val="24"/>
              </w:rPr>
              <w:t>终身维护</w:t>
            </w:r>
            <w:r>
              <w:rPr>
                <w:rFonts w:hint="eastAsia" w:ascii="宋体" w:hAnsi="宋体"/>
                <w:szCs w:val="24"/>
              </w:rPr>
              <w:t>确保零配件供应。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14</w:t>
            </w:r>
          </w:p>
        </w:tc>
        <w:tc>
          <w:tcPr>
            <w:tcW w:w="2552" w:type="dxa"/>
            <w:vAlign w:val="center"/>
          </w:tcPr>
          <w:p>
            <w:pPr>
              <w:spacing w:line="400" w:lineRule="exact"/>
              <w:jc w:val="center"/>
              <w:rPr>
                <w:rFonts w:ascii="宋体" w:hAnsi="宋体"/>
                <w:szCs w:val="24"/>
              </w:rPr>
            </w:pPr>
            <w:r>
              <w:rPr>
                <w:rFonts w:hint="eastAsia" w:ascii="宋体" w:hAnsi="宋体"/>
                <w:szCs w:val="24"/>
              </w:rPr>
              <w:t>招标文件发售</w:t>
            </w:r>
          </w:p>
        </w:tc>
        <w:tc>
          <w:tcPr>
            <w:tcW w:w="6662" w:type="dxa"/>
          </w:tcPr>
          <w:p>
            <w:pPr>
              <w:pStyle w:val="17"/>
              <w:spacing w:line="420" w:lineRule="exact"/>
              <w:rPr>
                <w:rFonts w:ascii="宋体" w:hAnsi="宋体" w:cs="仿宋_GB2312"/>
                <w:sz w:val="24"/>
                <w:szCs w:val="24"/>
              </w:rPr>
            </w:pPr>
            <w:r>
              <w:rPr>
                <w:rFonts w:hint="eastAsia" w:ascii="宋体" w:hAnsi="宋体"/>
                <w:sz w:val="24"/>
                <w:szCs w:val="24"/>
              </w:rPr>
              <w:t>发售时间：</w:t>
            </w:r>
            <w:r>
              <w:rPr>
                <w:rFonts w:hint="eastAsia"/>
                <w:color w:val="000000"/>
                <w:sz w:val="24"/>
                <w:szCs w:val="24"/>
              </w:rPr>
              <w:t>2019年6月3日-2019年6月11日（上午9：00-11：30，下午2：00-5：00，节假日除外）</w:t>
            </w:r>
            <w:r>
              <w:rPr>
                <w:rFonts w:hint="eastAsia" w:ascii="宋体" w:hAnsi="宋体" w:cs="仿宋_GB2312"/>
                <w:sz w:val="32"/>
                <w:szCs w:val="32"/>
              </w:rPr>
              <w:t>。</w:t>
            </w:r>
          </w:p>
          <w:p>
            <w:pPr>
              <w:pStyle w:val="17"/>
              <w:spacing w:line="420" w:lineRule="exact"/>
              <w:rPr>
                <w:rFonts w:ascii="宋体" w:hAnsi="宋体" w:cs="仿宋_GB2312"/>
                <w:sz w:val="24"/>
                <w:szCs w:val="24"/>
              </w:rPr>
            </w:pPr>
            <w:r>
              <w:rPr>
                <w:rFonts w:hint="eastAsia" w:ascii="宋体" w:hAnsi="宋体" w:cs="仿宋_GB2312"/>
                <w:sz w:val="24"/>
                <w:szCs w:val="24"/>
              </w:rPr>
              <w:t>发售地点：</w:t>
            </w:r>
            <w:r>
              <w:rPr>
                <w:rFonts w:hint="eastAsia" w:ascii="宋体" w:hAnsi="宋体"/>
                <w:color w:val="000000"/>
                <w:sz w:val="24"/>
                <w:szCs w:val="24"/>
              </w:rPr>
              <w:t>西安市未央区老三届首座大厦18层A804室。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15</w:t>
            </w:r>
          </w:p>
        </w:tc>
        <w:tc>
          <w:tcPr>
            <w:tcW w:w="2552" w:type="dxa"/>
            <w:vAlign w:val="center"/>
          </w:tcPr>
          <w:p>
            <w:pPr>
              <w:spacing w:line="400" w:lineRule="exact"/>
              <w:jc w:val="center"/>
              <w:rPr>
                <w:rFonts w:ascii="宋体" w:hAnsi="宋体"/>
                <w:szCs w:val="24"/>
              </w:rPr>
            </w:pPr>
            <w:r>
              <w:rPr>
                <w:rFonts w:hint="eastAsia" w:ascii="宋体" w:hAnsi="宋体"/>
                <w:szCs w:val="24"/>
              </w:rPr>
              <w:t>联合体投标</w:t>
            </w:r>
          </w:p>
        </w:tc>
        <w:tc>
          <w:tcPr>
            <w:tcW w:w="6662" w:type="dxa"/>
          </w:tcPr>
          <w:p>
            <w:pPr>
              <w:spacing w:line="420" w:lineRule="exact"/>
              <w:rPr>
                <w:rFonts w:ascii="宋体" w:hAnsi="宋体"/>
                <w:szCs w:val="24"/>
              </w:rPr>
            </w:pPr>
            <w:r>
              <w:rPr>
                <w:rFonts w:hint="eastAsia" w:ascii="宋体" w:hAnsi="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16</w:t>
            </w:r>
          </w:p>
        </w:tc>
        <w:tc>
          <w:tcPr>
            <w:tcW w:w="2552" w:type="dxa"/>
            <w:vAlign w:val="center"/>
          </w:tcPr>
          <w:p>
            <w:pPr>
              <w:spacing w:line="400" w:lineRule="exact"/>
              <w:jc w:val="center"/>
              <w:rPr>
                <w:rFonts w:ascii="宋体" w:hAnsi="宋体"/>
                <w:szCs w:val="24"/>
              </w:rPr>
            </w:pPr>
            <w:r>
              <w:rPr>
                <w:rFonts w:hint="eastAsia" w:ascii="宋体" w:hAnsi="宋体"/>
                <w:szCs w:val="24"/>
              </w:rPr>
              <w:t>现场勘查、标前答疑会</w:t>
            </w:r>
          </w:p>
        </w:tc>
        <w:tc>
          <w:tcPr>
            <w:tcW w:w="6662" w:type="dxa"/>
            <w:vAlign w:val="center"/>
          </w:tcPr>
          <w:p>
            <w:pPr>
              <w:spacing w:line="420" w:lineRule="exact"/>
              <w:rPr>
                <w:rFonts w:ascii="宋体" w:hAnsi="宋体"/>
                <w:szCs w:val="24"/>
              </w:rPr>
            </w:pPr>
            <w:r>
              <w:rPr>
                <w:rFonts w:hint="eastAsia" w:ascii="宋体" w:hAnsi="宋体"/>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17</w:t>
            </w:r>
          </w:p>
        </w:tc>
        <w:tc>
          <w:tcPr>
            <w:tcW w:w="2552" w:type="dxa"/>
            <w:vAlign w:val="center"/>
          </w:tcPr>
          <w:p>
            <w:pPr>
              <w:spacing w:line="400" w:lineRule="exact"/>
              <w:jc w:val="center"/>
              <w:rPr>
                <w:rFonts w:ascii="宋体" w:hAnsi="宋体"/>
                <w:szCs w:val="24"/>
              </w:rPr>
            </w:pPr>
            <w:r>
              <w:rPr>
                <w:rFonts w:hint="eastAsia" w:ascii="宋体" w:hAnsi="宋体"/>
                <w:szCs w:val="24"/>
              </w:rPr>
              <w:t>供应商对竞争性磋商文件提出质疑的时间</w:t>
            </w:r>
          </w:p>
        </w:tc>
        <w:tc>
          <w:tcPr>
            <w:tcW w:w="6662" w:type="dxa"/>
          </w:tcPr>
          <w:p>
            <w:pPr>
              <w:spacing w:line="420" w:lineRule="exact"/>
              <w:rPr>
                <w:rFonts w:ascii="宋体" w:hAnsi="宋体"/>
                <w:szCs w:val="24"/>
              </w:rPr>
            </w:pPr>
            <w:r>
              <w:rPr>
                <w:rFonts w:hint="eastAsia" w:ascii="宋体" w:hAnsi="宋体"/>
                <w:szCs w:val="24"/>
              </w:rPr>
              <w:t>供应商认为竞争性磋商文件使自己的权益受到损害的，在收到竞争性磋商文件之日起七个工作日内，以书面形式向采购代理机构提出质疑，逾期提出的无效，因此带来的一切不利后果由供应商自负。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18</w:t>
            </w:r>
          </w:p>
        </w:tc>
        <w:tc>
          <w:tcPr>
            <w:tcW w:w="2552" w:type="dxa"/>
            <w:vAlign w:val="center"/>
          </w:tcPr>
          <w:p>
            <w:pPr>
              <w:spacing w:line="400" w:lineRule="exact"/>
              <w:jc w:val="center"/>
              <w:rPr>
                <w:rFonts w:ascii="宋体" w:hAnsi="宋体"/>
                <w:szCs w:val="24"/>
              </w:rPr>
            </w:pPr>
            <w:r>
              <w:rPr>
                <w:rFonts w:hint="eastAsia" w:ascii="宋体" w:hAnsi="宋体"/>
                <w:szCs w:val="24"/>
              </w:rPr>
              <w:t>构成竞争性磋商文件的其他文件</w:t>
            </w:r>
          </w:p>
        </w:tc>
        <w:tc>
          <w:tcPr>
            <w:tcW w:w="6662" w:type="dxa"/>
          </w:tcPr>
          <w:p>
            <w:pPr>
              <w:spacing w:line="420" w:lineRule="exact"/>
              <w:rPr>
                <w:rFonts w:ascii="宋体" w:hAnsi="宋体"/>
                <w:szCs w:val="24"/>
              </w:rPr>
            </w:pPr>
            <w:r>
              <w:rPr>
                <w:rFonts w:hint="eastAsia" w:ascii="宋体" w:hAnsi="宋体"/>
                <w:szCs w:val="24"/>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19</w:t>
            </w:r>
          </w:p>
        </w:tc>
        <w:tc>
          <w:tcPr>
            <w:tcW w:w="2552" w:type="dxa"/>
            <w:vAlign w:val="center"/>
          </w:tcPr>
          <w:p>
            <w:pPr>
              <w:pStyle w:val="17"/>
              <w:spacing w:line="400" w:lineRule="exact"/>
              <w:rPr>
                <w:rFonts w:ascii="宋体" w:hAnsi="宋体" w:cs="仿宋_GB2312"/>
                <w:sz w:val="24"/>
                <w:szCs w:val="24"/>
              </w:rPr>
            </w:pPr>
            <w:r>
              <w:rPr>
                <w:rFonts w:hint="eastAsia" w:ascii="宋体" w:hAnsi="宋体" w:cs="仿宋_GB2312"/>
                <w:sz w:val="24"/>
                <w:szCs w:val="24"/>
              </w:rPr>
              <w:t>响应文件提交截止时间、开标时间和地点</w:t>
            </w:r>
          </w:p>
          <w:p>
            <w:pPr>
              <w:spacing w:line="400" w:lineRule="exact"/>
              <w:jc w:val="center"/>
              <w:rPr>
                <w:rFonts w:ascii="宋体" w:hAnsi="宋体"/>
                <w:szCs w:val="24"/>
              </w:rPr>
            </w:pPr>
          </w:p>
        </w:tc>
        <w:tc>
          <w:tcPr>
            <w:tcW w:w="6662" w:type="dxa"/>
          </w:tcPr>
          <w:p>
            <w:pPr>
              <w:pStyle w:val="17"/>
              <w:spacing w:line="420" w:lineRule="exact"/>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、响应文件提交截止时间：</w:t>
            </w:r>
            <w:r>
              <w:rPr>
                <w:rFonts w:hint="eastAsia"/>
                <w:color w:val="000000"/>
                <w:sz w:val="24"/>
                <w:szCs w:val="24"/>
              </w:rPr>
              <w:t>2019年6月14日上午9:30</w:t>
            </w:r>
            <w:r>
              <w:rPr>
                <w:rFonts w:ascii="宋体" w:hAnsi="宋体" w:cs="仿宋_GB2312"/>
                <w:sz w:val="24"/>
                <w:szCs w:val="24"/>
              </w:rPr>
              <w:t xml:space="preserve"> </w:t>
            </w:r>
            <w:r>
              <w:rPr>
                <w:rFonts w:hint="eastAsia" w:ascii="宋体" w:hAnsi="宋体" w:cs="仿宋_GB2312"/>
                <w:sz w:val="24"/>
                <w:szCs w:val="24"/>
              </w:rPr>
              <w:t>前</w:t>
            </w:r>
          </w:p>
          <w:p>
            <w:pPr>
              <w:pStyle w:val="17"/>
              <w:spacing w:line="420" w:lineRule="exact"/>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、开标时间：</w:t>
            </w:r>
            <w:r>
              <w:rPr>
                <w:rFonts w:hint="eastAsia"/>
                <w:color w:val="000000"/>
                <w:sz w:val="24"/>
                <w:szCs w:val="24"/>
              </w:rPr>
              <w:t>2019年6月14日上午9:30</w:t>
            </w:r>
          </w:p>
          <w:p>
            <w:pPr>
              <w:pStyle w:val="17"/>
              <w:spacing w:line="420" w:lineRule="exact"/>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、投标、开标地点：西安市未央区老三届首座大厦18层A806室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20</w:t>
            </w:r>
          </w:p>
        </w:tc>
        <w:tc>
          <w:tcPr>
            <w:tcW w:w="2552" w:type="dxa"/>
            <w:vAlign w:val="center"/>
          </w:tcPr>
          <w:p>
            <w:pPr>
              <w:spacing w:line="400" w:lineRule="exact"/>
              <w:jc w:val="center"/>
              <w:rPr>
                <w:rFonts w:ascii="宋体" w:hAnsi="宋体"/>
                <w:szCs w:val="24"/>
              </w:rPr>
            </w:pPr>
            <w:r>
              <w:rPr>
                <w:rFonts w:hint="eastAsia" w:ascii="宋体" w:hAnsi="宋体"/>
                <w:szCs w:val="24"/>
              </w:rPr>
              <w:t>投标有效期</w:t>
            </w:r>
          </w:p>
        </w:tc>
        <w:tc>
          <w:tcPr>
            <w:tcW w:w="6662" w:type="dxa"/>
          </w:tcPr>
          <w:p>
            <w:pPr>
              <w:spacing w:line="420" w:lineRule="exact"/>
              <w:rPr>
                <w:rFonts w:ascii="宋体" w:hAnsi="宋体"/>
                <w:szCs w:val="24"/>
              </w:rPr>
            </w:pP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21</w:t>
            </w:r>
          </w:p>
        </w:tc>
        <w:tc>
          <w:tcPr>
            <w:tcW w:w="2552" w:type="dxa"/>
            <w:vAlign w:val="center"/>
          </w:tcPr>
          <w:p>
            <w:pPr>
              <w:spacing w:line="400" w:lineRule="exact"/>
              <w:jc w:val="center"/>
              <w:rPr>
                <w:rFonts w:ascii="宋体" w:hAnsi="宋体"/>
                <w:szCs w:val="24"/>
              </w:rPr>
            </w:pPr>
            <w:r>
              <w:rPr>
                <w:rFonts w:hint="eastAsia" w:ascii="宋体" w:hAnsi="宋体"/>
                <w:szCs w:val="24"/>
              </w:rPr>
              <w:t>投标担保</w:t>
            </w:r>
          </w:p>
        </w:tc>
        <w:tc>
          <w:tcPr>
            <w:tcW w:w="6662" w:type="dxa"/>
          </w:tcPr>
          <w:p>
            <w:pPr>
              <w:tabs>
                <w:tab w:val="left" w:pos="7013"/>
              </w:tabs>
              <w:spacing w:line="420" w:lineRule="exact"/>
              <w:rPr>
                <w:rFonts w:ascii="宋体" w:hAnsi="宋体"/>
                <w:szCs w:val="24"/>
              </w:rPr>
            </w:pPr>
            <w:r>
              <w:rPr>
                <w:rFonts w:hint="eastAsia" w:ascii="宋体" w:hAnsi="宋体"/>
                <w:szCs w:val="24"/>
              </w:rPr>
              <w:t>1、担保方式：(任选其一)</w:t>
            </w:r>
            <w:r>
              <w:rPr>
                <w:rFonts w:ascii="宋体" w:hAnsi="宋体"/>
                <w:szCs w:val="24"/>
              </w:rPr>
              <w:tab/>
            </w:r>
          </w:p>
          <w:p>
            <w:pPr>
              <w:spacing w:line="420" w:lineRule="exact"/>
              <w:rPr>
                <w:rFonts w:ascii="宋体" w:hAnsi="宋体"/>
                <w:szCs w:val="24"/>
              </w:rPr>
            </w:pPr>
            <w:r>
              <w:rPr>
                <w:rFonts w:hint="eastAsia" w:ascii="宋体" w:hAnsi="宋体"/>
                <w:szCs w:val="24"/>
              </w:rPr>
              <w:t>（1）投标保证金</w:t>
            </w:r>
            <w:r>
              <w:rPr>
                <w:rFonts w:hint="eastAsia" w:ascii="宋体" w:hAnsi="宋体"/>
                <w:b/>
                <w:szCs w:val="24"/>
              </w:rPr>
              <w:t>：人民币壹万元整。（¥10000.00元）</w:t>
            </w:r>
          </w:p>
          <w:p>
            <w:pPr>
              <w:spacing w:line="420" w:lineRule="exact"/>
              <w:rPr>
                <w:rFonts w:ascii="宋体" w:hAnsi="宋体" w:cs="宋体"/>
                <w:szCs w:val="24"/>
              </w:rPr>
            </w:pPr>
            <w:r>
              <w:rPr>
                <w:rFonts w:hint="eastAsia" w:ascii="宋体" w:hAnsi="宋体"/>
                <w:szCs w:val="24"/>
              </w:rPr>
              <w:t>（2）担保函（专业担保机构开具的投标担保函）。</w:t>
            </w:r>
          </w:p>
          <w:p>
            <w:pPr>
              <w:spacing w:line="420" w:lineRule="exact"/>
              <w:rPr>
                <w:rFonts w:ascii="宋体" w:hAnsi="宋体"/>
                <w:b/>
                <w:bCs/>
                <w:szCs w:val="24"/>
              </w:rPr>
            </w:pPr>
            <w:r>
              <w:rPr>
                <w:rFonts w:hint="eastAsia" w:ascii="宋体" w:hAnsi="宋体"/>
                <w:szCs w:val="24"/>
              </w:rPr>
              <w:t>2、投标担保递交截止时间：</w:t>
            </w:r>
            <w:r>
              <w:rPr>
                <w:rFonts w:hint="eastAsia" w:ascii="宋体" w:hAnsi="宋体"/>
                <w:b/>
                <w:bCs/>
                <w:szCs w:val="24"/>
              </w:rPr>
              <w:t>2019年6月13日17:00前，</w:t>
            </w:r>
            <w:r>
              <w:rPr>
                <w:rFonts w:hint="eastAsia" w:ascii="宋体" w:hAnsi="宋体"/>
                <w:szCs w:val="24"/>
              </w:rPr>
              <w:t>若采购代理机构未在投标担保递交截止时间收到足额投标保证金或者有效投标担保函的，其投标将被拒绝。</w:t>
            </w:r>
            <w:r>
              <w:rPr>
                <w:rFonts w:hint="eastAsia" w:ascii="宋体" w:hAnsi="宋体"/>
                <w:b/>
                <w:bCs/>
                <w:szCs w:val="24"/>
              </w:rPr>
              <w:t xml:space="preserve"> </w:t>
            </w:r>
          </w:p>
          <w:p>
            <w:pPr>
              <w:spacing w:line="420" w:lineRule="exact"/>
              <w:rPr>
                <w:rFonts w:ascii="宋体" w:hAnsi="宋体"/>
                <w:szCs w:val="24"/>
              </w:rPr>
            </w:pPr>
            <w:r>
              <w:rPr>
                <w:rFonts w:hint="eastAsia" w:ascii="宋体" w:hAnsi="宋体"/>
                <w:bCs/>
                <w:szCs w:val="24"/>
              </w:rPr>
              <w:t>3、</w:t>
            </w:r>
            <w:r>
              <w:rPr>
                <w:rFonts w:hint="eastAsia" w:ascii="宋体" w:hAnsi="宋体"/>
                <w:szCs w:val="24"/>
              </w:rPr>
              <w:t>采用投标保证金方式的供应商，</w:t>
            </w:r>
            <w:r>
              <w:rPr>
                <w:rFonts w:hint="eastAsia" w:ascii="宋体" w:hAnsi="宋体"/>
                <w:b/>
                <w:szCs w:val="24"/>
              </w:rPr>
              <w:t>投标保证金仅限于通过基本账户以转账形式交纳，</w:t>
            </w:r>
            <w:r>
              <w:rPr>
                <w:rFonts w:hint="eastAsia" w:ascii="宋体" w:hAnsi="宋体"/>
                <w:szCs w:val="24"/>
              </w:rPr>
              <w:t>招标结束后以转账形式退至供应商对公账户内。供应商须在开标前持银行汇（存）款回执单来陕西中财招标代理有限公司财务部换领专用收款收据。若采购代理机构未在投标担保递交截止时间收到足额投标保证金的，采购代理机构不予开具专用收款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Align w:val="center"/>
          </w:tcPr>
          <w:p>
            <w:pPr>
              <w:jc w:val="center"/>
              <w:rPr>
                <w:rFonts w:ascii="宋体" w:hAnsi="宋体"/>
                <w:szCs w:val="24"/>
              </w:rPr>
            </w:pPr>
            <w:r>
              <w:rPr>
                <w:rFonts w:hint="eastAsia" w:ascii="宋体" w:hAnsi="宋体"/>
                <w:szCs w:val="24"/>
              </w:rPr>
              <w:t>22</w:t>
            </w:r>
          </w:p>
        </w:tc>
        <w:tc>
          <w:tcPr>
            <w:tcW w:w="2552" w:type="dxa"/>
            <w:vAlign w:val="center"/>
          </w:tcPr>
          <w:p>
            <w:pPr>
              <w:spacing w:line="400" w:lineRule="exact"/>
              <w:jc w:val="center"/>
              <w:rPr>
                <w:rFonts w:ascii="宋体" w:hAnsi="宋体"/>
                <w:szCs w:val="24"/>
              </w:rPr>
            </w:pPr>
            <w:r>
              <w:rPr>
                <w:rFonts w:hint="eastAsia" w:ascii="宋体" w:hAnsi="宋体"/>
                <w:szCs w:val="24"/>
              </w:rPr>
              <w:t>汇款账户</w:t>
            </w:r>
          </w:p>
        </w:tc>
        <w:tc>
          <w:tcPr>
            <w:tcW w:w="6662" w:type="dxa"/>
          </w:tcPr>
          <w:p>
            <w:pPr>
              <w:pStyle w:val="16"/>
              <w:spacing w:line="420" w:lineRule="exact"/>
              <w:ind w:firstLine="0" w:firstLineChars="0"/>
              <w:rPr>
                <w:rFonts w:ascii="宋体" w:hAnsi="宋体"/>
                <w:b/>
                <w:sz w:val="24"/>
                <w:szCs w:val="24"/>
              </w:rPr>
            </w:pPr>
            <w:r>
              <w:rPr>
                <w:rFonts w:hint="eastAsia" w:ascii="宋体" w:hAnsi="宋体"/>
                <w:b/>
                <w:sz w:val="24"/>
                <w:szCs w:val="24"/>
              </w:rPr>
              <w:t>1、开户行名称：陕西中财招标代理有限公司</w:t>
            </w:r>
          </w:p>
          <w:p>
            <w:pPr>
              <w:pStyle w:val="16"/>
              <w:spacing w:line="420" w:lineRule="exact"/>
              <w:ind w:firstLine="0" w:firstLineChars="0"/>
              <w:rPr>
                <w:rFonts w:ascii="宋体" w:hAnsi="宋体"/>
                <w:b/>
                <w:sz w:val="24"/>
                <w:szCs w:val="24"/>
              </w:rPr>
            </w:pPr>
            <w:r>
              <w:rPr>
                <w:rFonts w:hint="eastAsia" w:ascii="宋体" w:hAnsi="宋体"/>
                <w:b/>
                <w:sz w:val="24"/>
                <w:szCs w:val="24"/>
              </w:rPr>
              <w:t>2、开  户  行：招商银行股份有限公司西安城东支行</w:t>
            </w:r>
          </w:p>
          <w:p>
            <w:pPr>
              <w:pStyle w:val="16"/>
              <w:spacing w:line="420" w:lineRule="exact"/>
              <w:ind w:firstLine="0" w:firstLineChars="0"/>
              <w:rPr>
                <w:rFonts w:ascii="宋体" w:hAnsi="宋体"/>
                <w:b/>
                <w:sz w:val="24"/>
                <w:szCs w:val="24"/>
              </w:rPr>
            </w:pPr>
            <w:r>
              <w:rPr>
                <w:rFonts w:hint="eastAsia" w:ascii="宋体" w:hAnsi="宋体"/>
                <w:b/>
                <w:sz w:val="24"/>
                <w:szCs w:val="24"/>
              </w:rPr>
              <w:t>3、帐      号：</w:t>
            </w:r>
            <w:r>
              <w:rPr>
                <w:rFonts w:ascii="宋体" w:hAnsi="宋体"/>
                <w:b/>
                <w:sz w:val="24"/>
                <w:szCs w:val="24"/>
              </w:rPr>
              <w:t>129907827510202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23</w:t>
            </w:r>
          </w:p>
        </w:tc>
        <w:tc>
          <w:tcPr>
            <w:tcW w:w="2552" w:type="dxa"/>
            <w:vAlign w:val="center"/>
          </w:tcPr>
          <w:p>
            <w:pPr>
              <w:spacing w:line="400" w:lineRule="exact"/>
              <w:jc w:val="center"/>
              <w:rPr>
                <w:rFonts w:ascii="宋体" w:hAnsi="宋体"/>
                <w:szCs w:val="24"/>
              </w:rPr>
            </w:pPr>
            <w:r>
              <w:rPr>
                <w:rFonts w:hint="eastAsia" w:ascii="宋体" w:hAnsi="宋体"/>
                <w:szCs w:val="24"/>
              </w:rPr>
              <w:t>备选投标方案</w:t>
            </w:r>
          </w:p>
          <w:p>
            <w:pPr>
              <w:spacing w:line="400" w:lineRule="exact"/>
              <w:jc w:val="center"/>
              <w:rPr>
                <w:rFonts w:ascii="宋体" w:hAnsi="宋体"/>
                <w:szCs w:val="24"/>
              </w:rPr>
            </w:pPr>
            <w:r>
              <w:rPr>
                <w:rFonts w:hint="eastAsia" w:ascii="宋体" w:hAnsi="宋体"/>
                <w:szCs w:val="24"/>
              </w:rPr>
              <w:t>和报价</w:t>
            </w:r>
          </w:p>
        </w:tc>
        <w:tc>
          <w:tcPr>
            <w:tcW w:w="6662" w:type="dxa"/>
            <w:vAlign w:val="center"/>
          </w:tcPr>
          <w:p>
            <w:pPr>
              <w:tabs>
                <w:tab w:val="left" w:pos="7013"/>
              </w:tabs>
              <w:spacing w:line="420" w:lineRule="exact"/>
              <w:rPr>
                <w:rFonts w:ascii="宋体" w:hAnsi="宋体"/>
                <w:szCs w:val="24"/>
              </w:rPr>
            </w:pPr>
            <w:r>
              <w:rPr>
                <w:rFonts w:hint="eastAsia" w:ascii="宋体" w:hAnsi="宋体"/>
                <w:szCs w:val="24"/>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24</w:t>
            </w:r>
          </w:p>
        </w:tc>
        <w:tc>
          <w:tcPr>
            <w:tcW w:w="2552" w:type="dxa"/>
            <w:vAlign w:val="center"/>
          </w:tcPr>
          <w:p>
            <w:pPr>
              <w:spacing w:line="400" w:lineRule="exact"/>
              <w:jc w:val="center"/>
              <w:rPr>
                <w:rFonts w:ascii="宋体" w:hAnsi="宋体"/>
                <w:szCs w:val="24"/>
              </w:rPr>
            </w:pPr>
            <w:r>
              <w:rPr>
                <w:rFonts w:hint="eastAsia" w:ascii="宋体" w:hAnsi="宋体"/>
                <w:szCs w:val="24"/>
              </w:rPr>
              <w:t>盖章签字</w:t>
            </w:r>
          </w:p>
        </w:tc>
        <w:tc>
          <w:tcPr>
            <w:tcW w:w="6662" w:type="dxa"/>
            <w:vAlign w:val="center"/>
          </w:tcPr>
          <w:p>
            <w:pPr>
              <w:tabs>
                <w:tab w:val="left" w:pos="7013"/>
              </w:tabs>
              <w:spacing w:line="420" w:lineRule="exact"/>
              <w:rPr>
                <w:rFonts w:ascii="宋体" w:hAnsi="宋体"/>
                <w:szCs w:val="24"/>
              </w:rPr>
            </w:pPr>
            <w:r>
              <w:rPr>
                <w:rFonts w:hint="eastAsia" w:ascii="宋体" w:hAnsi="宋体"/>
                <w:szCs w:val="24"/>
              </w:rPr>
              <w:t>供应商必须按照招标文件的规定和要求</w:t>
            </w:r>
            <w:bookmarkStart w:id="9" w:name="OLE_LINK5"/>
            <w:r>
              <w:rPr>
                <w:rFonts w:hint="eastAsia" w:ascii="宋体" w:hAnsi="宋体"/>
                <w:szCs w:val="24"/>
              </w:rPr>
              <w:t>由法定代表人或被授权人签字（或盖章），并逐页加盖供应商公章（正本为鲜章）。</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25</w:t>
            </w:r>
          </w:p>
        </w:tc>
        <w:tc>
          <w:tcPr>
            <w:tcW w:w="2552" w:type="dxa"/>
            <w:vAlign w:val="center"/>
          </w:tcPr>
          <w:p>
            <w:pPr>
              <w:spacing w:line="400" w:lineRule="exact"/>
              <w:jc w:val="center"/>
              <w:rPr>
                <w:rFonts w:ascii="宋体" w:hAnsi="宋体"/>
                <w:szCs w:val="24"/>
              </w:rPr>
            </w:pPr>
            <w:r>
              <w:rPr>
                <w:rFonts w:hint="eastAsia" w:ascii="宋体" w:hAnsi="宋体"/>
                <w:szCs w:val="24"/>
              </w:rPr>
              <w:t>投标文件数量、装订</w:t>
            </w:r>
          </w:p>
        </w:tc>
        <w:tc>
          <w:tcPr>
            <w:tcW w:w="6662" w:type="dxa"/>
            <w:vAlign w:val="center"/>
          </w:tcPr>
          <w:p>
            <w:pPr>
              <w:spacing w:line="480" w:lineRule="exact"/>
              <w:rPr>
                <w:rFonts w:ascii="宋体" w:hAnsi="宋体" w:cs="仿宋_GB2312"/>
                <w:kern w:val="0"/>
                <w:szCs w:val="24"/>
              </w:rPr>
            </w:pPr>
            <w:r>
              <w:rPr>
                <w:rFonts w:hint="eastAsia" w:ascii="宋体" w:hAnsi="宋体"/>
                <w:b/>
                <w:szCs w:val="24"/>
              </w:rPr>
              <w:t>投标文件一正三副，电子文件（U盘或光盘）一份，投标单位应将投标文件正本单独密封在一个标袋中，所有副本单独密封在一个标</w:t>
            </w:r>
            <w:r>
              <w:rPr>
                <w:rFonts w:hint="eastAsia" w:ascii="宋体" w:hAnsi="宋体" w:cs="仿宋_GB2312"/>
                <w:b/>
                <w:kern w:val="0"/>
                <w:szCs w:val="24"/>
              </w:rPr>
              <w:t>袋中，电子版放置“正本”标袋内（封袋不得有破损），在封袋上标明“正本”、“副本”字样，封袋正面要粘贴标识并加盖投标单位公章；</w:t>
            </w:r>
            <w:r>
              <w:rPr>
                <w:rFonts w:hint="eastAsia" w:ascii="宋体" w:hAnsi="宋体" w:cs="仿宋_GB2312"/>
                <w:kern w:val="0"/>
                <w:szCs w:val="24"/>
              </w:rPr>
              <w:t>投标文件正本中的法人授权书须为原件。</w:t>
            </w:r>
          </w:p>
          <w:p>
            <w:pPr>
              <w:pStyle w:val="2"/>
              <w:ind w:firstLine="0"/>
              <w:rPr>
                <w:rFonts w:ascii="宋体" w:hAnsi="宋体"/>
                <w:b/>
                <w:sz w:val="24"/>
                <w:szCs w:val="24"/>
              </w:rPr>
            </w:pPr>
            <w:r>
              <w:rPr>
                <w:rFonts w:hint="eastAsia" w:ascii="宋体" w:hAnsi="宋体" w:cs="仿宋_GB2312"/>
                <w:b/>
                <w:kern w:val="0"/>
                <w:sz w:val="24"/>
                <w:szCs w:val="24"/>
              </w:rPr>
              <w:t>注：如未按照上述要求执行，则按无效标处理。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09" w:type="dxa"/>
            <w:vAlign w:val="center"/>
          </w:tcPr>
          <w:p>
            <w:pPr>
              <w:jc w:val="center"/>
              <w:rPr>
                <w:rFonts w:ascii="宋体" w:hAnsi="宋体"/>
                <w:szCs w:val="24"/>
              </w:rPr>
            </w:pPr>
            <w:r>
              <w:rPr>
                <w:rFonts w:hint="eastAsia" w:ascii="宋体" w:hAnsi="宋体"/>
                <w:szCs w:val="24"/>
              </w:rPr>
              <w:t>26</w:t>
            </w:r>
          </w:p>
        </w:tc>
        <w:tc>
          <w:tcPr>
            <w:tcW w:w="2552" w:type="dxa"/>
            <w:vAlign w:val="center"/>
          </w:tcPr>
          <w:p>
            <w:pPr>
              <w:spacing w:line="400" w:lineRule="exact"/>
              <w:jc w:val="center"/>
              <w:rPr>
                <w:rFonts w:ascii="宋体" w:hAnsi="宋体"/>
                <w:szCs w:val="24"/>
              </w:rPr>
            </w:pPr>
            <w:r>
              <w:rPr>
                <w:rFonts w:hint="eastAsia" w:ascii="宋体" w:hAnsi="宋体"/>
                <w:szCs w:val="24"/>
              </w:rPr>
              <w:t>投标报价</w:t>
            </w:r>
          </w:p>
        </w:tc>
        <w:tc>
          <w:tcPr>
            <w:tcW w:w="6662" w:type="dxa"/>
            <w:vAlign w:val="center"/>
          </w:tcPr>
          <w:p>
            <w:pPr>
              <w:pStyle w:val="17"/>
              <w:spacing w:line="420" w:lineRule="exact"/>
              <w:rPr>
                <w:rFonts w:ascii="宋体" w:hAnsi="宋体" w:cs="仿宋_GB2312"/>
                <w:sz w:val="24"/>
                <w:szCs w:val="24"/>
              </w:rPr>
            </w:pPr>
            <w:r>
              <w:rPr>
                <w:rFonts w:hint="eastAsia" w:ascii="宋体" w:hAnsi="宋体" w:cs="仿宋_GB2312"/>
                <w:sz w:val="24"/>
                <w:szCs w:val="24"/>
              </w:rPr>
              <w:t>报价应包括但不限于：陕西学前师范学院体质评价与运动干预实践教学创新平台建设项目的工作以及相关的义务，直到项目全部验收完毕的全阶段的所有费用。一旦成交，投标报价将不会因国家政策调整及市场变化因素而得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09" w:type="dxa"/>
            <w:vAlign w:val="center"/>
          </w:tcPr>
          <w:p>
            <w:pPr>
              <w:jc w:val="center"/>
              <w:rPr>
                <w:rFonts w:ascii="宋体" w:hAnsi="宋体"/>
                <w:szCs w:val="24"/>
              </w:rPr>
            </w:pPr>
            <w:r>
              <w:rPr>
                <w:rFonts w:hint="eastAsia" w:ascii="宋体" w:hAnsi="宋体"/>
                <w:szCs w:val="24"/>
              </w:rPr>
              <w:t>27</w:t>
            </w:r>
          </w:p>
        </w:tc>
        <w:tc>
          <w:tcPr>
            <w:tcW w:w="2552" w:type="dxa"/>
            <w:vAlign w:val="center"/>
          </w:tcPr>
          <w:p>
            <w:pPr>
              <w:spacing w:line="400" w:lineRule="exact"/>
              <w:jc w:val="center"/>
              <w:rPr>
                <w:rFonts w:ascii="宋体" w:hAnsi="宋体"/>
                <w:szCs w:val="24"/>
              </w:rPr>
            </w:pPr>
            <w:r>
              <w:rPr>
                <w:rFonts w:hint="eastAsia" w:ascii="宋体" w:hAnsi="宋体"/>
                <w:szCs w:val="24"/>
              </w:rPr>
              <w:t>评标办法及标准</w:t>
            </w:r>
          </w:p>
        </w:tc>
        <w:tc>
          <w:tcPr>
            <w:tcW w:w="6662" w:type="dxa"/>
            <w:vAlign w:val="center"/>
          </w:tcPr>
          <w:p>
            <w:pPr>
              <w:pStyle w:val="17"/>
              <w:spacing w:line="420" w:lineRule="exact"/>
              <w:rPr>
                <w:rFonts w:ascii="宋体" w:hAnsi="宋体" w:cs="仿宋_GB2312"/>
                <w:sz w:val="24"/>
                <w:szCs w:val="24"/>
              </w:rPr>
            </w:pPr>
            <w:r>
              <w:rPr>
                <w:rFonts w:hint="eastAsia" w:ascii="宋体" w:hAnsi="宋体" w:cs="仿宋_GB2312"/>
                <w:sz w:val="24"/>
                <w:szCs w:val="24"/>
              </w:rPr>
              <w:t>详见本章第（七）项评分内容和评分方式。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28</w:t>
            </w:r>
          </w:p>
        </w:tc>
        <w:tc>
          <w:tcPr>
            <w:tcW w:w="2552" w:type="dxa"/>
            <w:vAlign w:val="center"/>
          </w:tcPr>
          <w:p>
            <w:pPr>
              <w:spacing w:line="400" w:lineRule="exact"/>
              <w:jc w:val="center"/>
              <w:rPr>
                <w:rFonts w:ascii="宋体" w:hAnsi="宋体"/>
                <w:szCs w:val="24"/>
              </w:rPr>
            </w:pPr>
            <w:r>
              <w:rPr>
                <w:rFonts w:hint="eastAsia" w:ascii="宋体" w:hAnsi="宋体"/>
                <w:szCs w:val="24"/>
              </w:rPr>
              <w:t>其它事项</w:t>
            </w:r>
          </w:p>
        </w:tc>
        <w:tc>
          <w:tcPr>
            <w:tcW w:w="6662" w:type="dxa"/>
            <w:vAlign w:val="center"/>
          </w:tcPr>
          <w:p>
            <w:pPr>
              <w:adjustRightInd w:val="0"/>
              <w:snapToGrid w:val="0"/>
              <w:spacing w:line="480" w:lineRule="exact"/>
              <w:rPr>
                <w:rFonts w:ascii="宋体" w:hAnsi="宋体"/>
                <w:szCs w:val="24"/>
              </w:rPr>
            </w:pPr>
            <w:r>
              <w:rPr>
                <w:rFonts w:hint="eastAsia" w:ascii="宋体" w:hAnsi="宋体"/>
                <w:szCs w:val="24"/>
              </w:rPr>
              <w:t>本次采购、投标报价、评审和合同授予均以项目为单位，投标供应商必须就一个完整项目进行响应。中标供应商与采购人在中标通知书发出30天内签订合同，不及时签订视为自动放弃。非经采购人同意，本项目不允许中标后另行转包或者分包。</w:t>
            </w:r>
            <w:r>
              <w:rPr>
                <w:rFonts w:hint="eastAsia" w:ascii="宋体" w:hAnsi="宋体" w:cs="宋体"/>
                <w:kern w:val="0"/>
                <w:szCs w:val="24"/>
              </w:rPr>
              <w:t>中标人无正当理由不得放弃中标。</w:t>
            </w:r>
            <w:r>
              <w:rPr>
                <w:rFonts w:hint="eastAsia" w:ascii="宋体" w:hAnsi="宋体"/>
                <w:szCs w:val="24"/>
              </w:rPr>
              <w:t>因自身原因拒绝签订政府采购合同的或者未按合同约定进行履约的，中标人不得参加对该项目重新开展的招标活动。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4"/>
              </w:rPr>
            </w:pPr>
            <w:r>
              <w:rPr>
                <w:rFonts w:hint="eastAsia" w:ascii="宋体" w:hAnsi="宋体"/>
                <w:szCs w:val="24"/>
              </w:rPr>
              <w:t>29</w:t>
            </w:r>
          </w:p>
        </w:tc>
        <w:tc>
          <w:tcPr>
            <w:tcW w:w="2552" w:type="dxa"/>
            <w:vAlign w:val="center"/>
          </w:tcPr>
          <w:p>
            <w:pPr>
              <w:spacing w:line="400" w:lineRule="exact"/>
              <w:ind w:firstLine="600" w:firstLineChars="250"/>
              <w:rPr>
                <w:rFonts w:ascii="宋体" w:hAnsi="宋体"/>
                <w:szCs w:val="24"/>
              </w:rPr>
            </w:pPr>
            <w:r>
              <w:rPr>
                <w:rFonts w:hint="eastAsia" w:ascii="宋体" w:hAnsi="宋体"/>
                <w:szCs w:val="24"/>
              </w:rPr>
              <w:t>样品</w:t>
            </w:r>
          </w:p>
        </w:tc>
        <w:tc>
          <w:tcPr>
            <w:tcW w:w="6662" w:type="dxa"/>
            <w:vAlign w:val="center"/>
          </w:tcPr>
          <w:p>
            <w:pPr>
              <w:pStyle w:val="17"/>
              <w:spacing w:line="420" w:lineRule="exact"/>
              <w:rPr>
                <w:rFonts w:ascii="宋体" w:hAnsi="宋体"/>
                <w:color w:val="000000"/>
                <w:kern w:val="2"/>
                <w:sz w:val="24"/>
                <w:szCs w:val="24"/>
              </w:rPr>
            </w:pPr>
            <w:r>
              <w:rPr>
                <w:rFonts w:hint="eastAsia" w:ascii="宋体" w:hAnsi="宋体"/>
                <w:color w:val="000000"/>
                <w:kern w:val="2"/>
                <w:sz w:val="24"/>
                <w:szCs w:val="24"/>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09" w:type="dxa"/>
            <w:vAlign w:val="center"/>
          </w:tcPr>
          <w:p>
            <w:pPr>
              <w:jc w:val="center"/>
              <w:rPr>
                <w:rFonts w:ascii="宋体" w:hAnsi="宋体"/>
                <w:szCs w:val="24"/>
              </w:rPr>
            </w:pPr>
            <w:r>
              <w:rPr>
                <w:rFonts w:hint="eastAsia" w:ascii="宋体" w:hAnsi="宋体"/>
                <w:szCs w:val="24"/>
              </w:rPr>
              <w:t>30</w:t>
            </w:r>
          </w:p>
        </w:tc>
        <w:tc>
          <w:tcPr>
            <w:tcW w:w="2552" w:type="dxa"/>
            <w:vAlign w:val="center"/>
          </w:tcPr>
          <w:p>
            <w:pPr>
              <w:spacing w:line="400" w:lineRule="exact"/>
              <w:ind w:firstLine="600" w:firstLineChars="250"/>
              <w:rPr>
                <w:rFonts w:ascii="宋体" w:hAnsi="宋体"/>
                <w:szCs w:val="24"/>
              </w:rPr>
            </w:pPr>
            <w:r>
              <w:rPr>
                <w:rFonts w:hint="eastAsia" w:ascii="宋体" w:hAnsi="宋体"/>
                <w:szCs w:val="24"/>
              </w:rPr>
              <w:t>其他</w:t>
            </w:r>
          </w:p>
        </w:tc>
        <w:tc>
          <w:tcPr>
            <w:tcW w:w="6662" w:type="dxa"/>
            <w:vAlign w:val="center"/>
          </w:tcPr>
          <w:p>
            <w:pPr>
              <w:pStyle w:val="17"/>
              <w:spacing w:line="420" w:lineRule="exact"/>
              <w:rPr>
                <w:rFonts w:ascii="宋体" w:hAnsi="宋体"/>
                <w:color w:val="000000"/>
                <w:kern w:val="2"/>
                <w:sz w:val="24"/>
                <w:szCs w:val="24"/>
              </w:rPr>
            </w:pPr>
            <w:r>
              <w:rPr>
                <w:rFonts w:hint="eastAsia" w:ascii="宋体" w:hAnsi="宋体"/>
                <w:b/>
                <w:bCs/>
                <w:color w:val="000000"/>
                <w:kern w:val="2"/>
                <w:sz w:val="24"/>
                <w:szCs w:val="24"/>
              </w:rPr>
              <w:t>付款方式不满足竞争性磋商文件要求的按无效标处理</w:t>
            </w:r>
          </w:p>
        </w:tc>
      </w:tr>
    </w:tbl>
    <w:p/>
    <w:p>
      <w:pPr>
        <w:spacing w:line="360" w:lineRule="auto"/>
        <w:rPr>
          <w:rFonts w:ascii="宋体" w:hAnsi="宋体" w:cstheme="minorBidi"/>
          <w:szCs w:val="24"/>
        </w:rPr>
      </w:pPr>
      <w:r>
        <w:rPr>
          <w:rFonts w:hint="eastAsia" w:ascii="宋体" w:hAnsi="宋体"/>
          <w:szCs w:val="24"/>
        </w:rPr>
        <w:t>本项目招标依据《中华人民共和国政府采购法》等有关法律法规及规定。</w:t>
      </w:r>
    </w:p>
    <w:p>
      <w:pPr>
        <w:spacing w:line="360" w:lineRule="auto"/>
        <w:jc w:val="center"/>
        <w:rPr>
          <w:rFonts w:ascii="宋体" w:hAnsi="宋体"/>
          <w:b/>
          <w:szCs w:val="24"/>
        </w:rPr>
      </w:pPr>
      <w:r>
        <w:rPr>
          <w:rFonts w:hint="eastAsia" w:ascii="宋体" w:hAnsi="宋体"/>
          <w:b/>
          <w:szCs w:val="24"/>
        </w:rPr>
        <w:t>（一）总则</w:t>
      </w:r>
    </w:p>
    <w:p>
      <w:pPr>
        <w:spacing w:line="360" w:lineRule="auto"/>
        <w:rPr>
          <w:rFonts w:ascii="宋体" w:hAnsi="宋体"/>
          <w:szCs w:val="24"/>
        </w:rPr>
      </w:pPr>
      <w:r>
        <w:rPr>
          <w:rFonts w:hint="eastAsia" w:ascii="宋体" w:hAnsi="宋体"/>
          <w:szCs w:val="24"/>
        </w:rPr>
        <w:t>1、适用范围：本竞争性磋商文件仅适用于本项目的招标。</w:t>
      </w:r>
    </w:p>
    <w:p>
      <w:pPr>
        <w:spacing w:line="360" w:lineRule="auto"/>
        <w:rPr>
          <w:rFonts w:ascii="宋体" w:hAnsi="宋体"/>
          <w:szCs w:val="24"/>
        </w:rPr>
      </w:pPr>
      <w:r>
        <w:rPr>
          <w:rFonts w:hint="eastAsia" w:ascii="宋体" w:hAnsi="宋体"/>
          <w:szCs w:val="24"/>
        </w:rPr>
        <w:t>2、名词解释：</w:t>
      </w:r>
    </w:p>
    <w:p>
      <w:pPr>
        <w:spacing w:line="360" w:lineRule="auto"/>
        <w:ind w:firstLine="480" w:firstLineChars="200"/>
        <w:rPr>
          <w:rFonts w:ascii="宋体" w:hAnsi="宋体"/>
          <w:szCs w:val="24"/>
        </w:rPr>
      </w:pPr>
      <w:r>
        <w:rPr>
          <w:rFonts w:hint="eastAsia" w:ascii="宋体" w:hAnsi="宋体"/>
          <w:szCs w:val="24"/>
        </w:rPr>
        <w:t>2.1采购人：陕西学前师范学院</w:t>
      </w:r>
    </w:p>
    <w:p>
      <w:pPr>
        <w:spacing w:line="360" w:lineRule="auto"/>
        <w:ind w:firstLine="480" w:firstLineChars="200"/>
        <w:rPr>
          <w:rFonts w:ascii="宋体" w:hAnsi="宋体"/>
          <w:szCs w:val="24"/>
        </w:rPr>
      </w:pPr>
      <w:r>
        <w:rPr>
          <w:rFonts w:hint="eastAsia" w:ascii="宋体" w:hAnsi="宋体"/>
          <w:szCs w:val="24"/>
        </w:rPr>
        <w:t>2.2采购代理机构：陕西中财招标代理有限公司</w:t>
      </w:r>
    </w:p>
    <w:p>
      <w:pPr>
        <w:spacing w:line="360" w:lineRule="auto"/>
        <w:ind w:firstLine="480" w:firstLineChars="200"/>
        <w:rPr>
          <w:rFonts w:ascii="宋体" w:hAnsi="宋体"/>
          <w:szCs w:val="24"/>
        </w:rPr>
      </w:pPr>
      <w:r>
        <w:rPr>
          <w:rFonts w:hint="eastAsia" w:ascii="宋体" w:hAnsi="宋体"/>
          <w:szCs w:val="24"/>
        </w:rPr>
        <w:t>2.3供应商：响应招标并且符合磋商文件规定资格条件和参加竞争的供应商</w:t>
      </w:r>
    </w:p>
    <w:p>
      <w:pPr>
        <w:spacing w:line="360" w:lineRule="auto"/>
        <w:ind w:firstLine="480" w:firstLineChars="200"/>
        <w:rPr>
          <w:rFonts w:ascii="宋体" w:hAnsi="宋体"/>
          <w:szCs w:val="24"/>
        </w:rPr>
      </w:pPr>
      <w:r>
        <w:rPr>
          <w:rFonts w:hint="eastAsia" w:ascii="宋体" w:hAnsi="宋体"/>
          <w:szCs w:val="24"/>
        </w:rPr>
        <w:t>2.4项目：指磋商文件规定供应商须承担的陕西学前师范学院体质评价与运动干预实践教学创新平台建设项目的相关工作。</w:t>
      </w:r>
    </w:p>
    <w:p>
      <w:pPr>
        <w:spacing w:line="360" w:lineRule="auto"/>
        <w:rPr>
          <w:rFonts w:ascii="宋体" w:hAnsi="宋体"/>
          <w:szCs w:val="24"/>
        </w:rPr>
      </w:pPr>
      <w:r>
        <w:rPr>
          <w:rFonts w:hint="eastAsia" w:ascii="宋体" w:hAnsi="宋体"/>
          <w:szCs w:val="24"/>
        </w:rPr>
        <w:t>3、合格的供应商</w:t>
      </w:r>
    </w:p>
    <w:p>
      <w:pPr>
        <w:spacing w:line="360" w:lineRule="auto"/>
        <w:ind w:firstLine="480" w:firstLineChars="200"/>
        <w:rPr>
          <w:rFonts w:ascii="宋体" w:hAnsi="宋体"/>
          <w:szCs w:val="24"/>
        </w:rPr>
      </w:pPr>
      <w:r>
        <w:rPr>
          <w:rFonts w:hint="eastAsia" w:ascii="宋体" w:hAnsi="宋体"/>
          <w:szCs w:val="24"/>
        </w:rPr>
        <w:t>3.1满足磋商中对供应商所提出的全部要求。</w:t>
      </w:r>
    </w:p>
    <w:p>
      <w:pPr>
        <w:spacing w:line="360" w:lineRule="auto"/>
        <w:ind w:firstLine="480" w:firstLineChars="200"/>
        <w:rPr>
          <w:rFonts w:ascii="宋体" w:hAnsi="宋体"/>
          <w:szCs w:val="24"/>
        </w:rPr>
      </w:pPr>
      <w:r>
        <w:rPr>
          <w:rFonts w:hint="eastAsia" w:ascii="宋体" w:hAnsi="宋体"/>
          <w:szCs w:val="24"/>
        </w:rPr>
        <w:t>3.2供应商应从采购代理机构购买磋商文件，其他未购买磋商文件的潜在供应商均无资格参加本次磋商。</w:t>
      </w:r>
    </w:p>
    <w:p>
      <w:pPr>
        <w:spacing w:line="360" w:lineRule="auto"/>
        <w:rPr>
          <w:rFonts w:ascii="宋体" w:hAnsi="宋体"/>
          <w:szCs w:val="24"/>
        </w:rPr>
      </w:pPr>
      <w:r>
        <w:rPr>
          <w:rFonts w:hint="eastAsia" w:ascii="宋体" w:hAnsi="宋体"/>
          <w:szCs w:val="24"/>
        </w:rPr>
        <w:t>4、保密</w:t>
      </w:r>
    </w:p>
    <w:p>
      <w:pPr>
        <w:spacing w:line="360" w:lineRule="auto"/>
        <w:ind w:firstLine="480" w:firstLineChars="200"/>
        <w:rPr>
          <w:rFonts w:ascii="宋体" w:hAnsi="宋体"/>
          <w:szCs w:val="24"/>
        </w:rPr>
      </w:pPr>
      <w:r>
        <w:rPr>
          <w:rFonts w:hint="eastAsia" w:ascii="宋体" w:hAnsi="宋体"/>
          <w:szCs w:val="24"/>
        </w:rPr>
        <w:t xml:space="preserve">参与磋商活动的各方应对磋商文件和响应文件中的商业和技术等秘密保密，违者应对由此造成的后果承担法律责任。 </w:t>
      </w:r>
    </w:p>
    <w:p>
      <w:pPr>
        <w:spacing w:line="360" w:lineRule="auto"/>
        <w:rPr>
          <w:rFonts w:ascii="宋体" w:hAnsi="宋体"/>
          <w:szCs w:val="24"/>
        </w:rPr>
      </w:pPr>
      <w:bookmarkStart w:id="10" w:name="_Toc246928899"/>
      <w:bookmarkStart w:id="11" w:name="_Toc394934414"/>
      <w:r>
        <w:rPr>
          <w:rFonts w:hint="eastAsia" w:ascii="宋体" w:hAnsi="宋体"/>
          <w:szCs w:val="24"/>
        </w:rPr>
        <w:t>5、费用</w:t>
      </w:r>
      <w:bookmarkEnd w:id="10"/>
      <w:bookmarkEnd w:id="11"/>
    </w:p>
    <w:p>
      <w:pPr>
        <w:spacing w:line="360" w:lineRule="auto"/>
        <w:ind w:firstLine="480" w:firstLineChars="200"/>
        <w:rPr>
          <w:rFonts w:ascii="宋体" w:hAnsi="宋体"/>
          <w:szCs w:val="24"/>
        </w:rPr>
      </w:pPr>
      <w:r>
        <w:rPr>
          <w:rFonts w:hint="eastAsia" w:ascii="宋体" w:hAnsi="宋体"/>
          <w:szCs w:val="24"/>
        </w:rPr>
        <w:t>供应商应承担所有与编写和提交响应文件有关的费用，无论磋商过程中的做法和结果如何，采购人在任何情况下均无义务和责任承担这些费用。</w:t>
      </w:r>
    </w:p>
    <w:p>
      <w:pPr>
        <w:spacing w:line="360" w:lineRule="auto"/>
        <w:jc w:val="center"/>
        <w:rPr>
          <w:rFonts w:ascii="宋体" w:hAnsi="宋体"/>
          <w:b/>
          <w:szCs w:val="24"/>
        </w:rPr>
      </w:pPr>
      <w:r>
        <w:rPr>
          <w:rFonts w:hint="eastAsia" w:ascii="宋体" w:hAnsi="宋体"/>
          <w:b/>
          <w:szCs w:val="24"/>
        </w:rPr>
        <w:t>（二）磋商文件说明</w:t>
      </w:r>
    </w:p>
    <w:p>
      <w:pPr>
        <w:spacing w:line="360" w:lineRule="auto"/>
        <w:rPr>
          <w:rFonts w:ascii="宋体" w:hAnsi="宋体"/>
          <w:szCs w:val="24"/>
        </w:rPr>
      </w:pPr>
      <w:r>
        <w:rPr>
          <w:rFonts w:hint="eastAsia" w:ascii="宋体" w:hAnsi="宋体"/>
          <w:szCs w:val="24"/>
        </w:rPr>
        <w:t>6、磋商文件的组成</w:t>
      </w:r>
    </w:p>
    <w:p>
      <w:pPr>
        <w:spacing w:line="360" w:lineRule="auto"/>
        <w:rPr>
          <w:rFonts w:ascii="宋体" w:hAnsi="宋体"/>
          <w:szCs w:val="24"/>
        </w:rPr>
      </w:pPr>
      <w:r>
        <w:rPr>
          <w:rFonts w:hint="eastAsia" w:ascii="宋体" w:hAnsi="宋体"/>
          <w:szCs w:val="24"/>
        </w:rPr>
        <w:t>6.1磋商文件依据本项目的特点及需求编制，具体包括以下内容：</w:t>
      </w:r>
    </w:p>
    <w:p>
      <w:pPr>
        <w:spacing w:line="360" w:lineRule="auto"/>
        <w:rPr>
          <w:rFonts w:ascii="宋体" w:hAnsi="宋体"/>
          <w:szCs w:val="24"/>
        </w:rPr>
      </w:pPr>
      <w:r>
        <w:rPr>
          <w:rFonts w:hint="eastAsia" w:ascii="宋体" w:hAnsi="宋体"/>
          <w:szCs w:val="24"/>
        </w:rPr>
        <w:t>（1）竞争性磋商公告</w:t>
      </w:r>
    </w:p>
    <w:p>
      <w:pPr>
        <w:spacing w:line="360" w:lineRule="auto"/>
        <w:rPr>
          <w:rFonts w:ascii="宋体" w:hAnsi="宋体"/>
          <w:szCs w:val="24"/>
        </w:rPr>
      </w:pPr>
      <w:r>
        <w:rPr>
          <w:rFonts w:hint="eastAsia" w:ascii="宋体" w:hAnsi="宋体"/>
          <w:szCs w:val="24"/>
        </w:rPr>
        <w:t>（2）供应商须知</w:t>
      </w:r>
    </w:p>
    <w:p>
      <w:pPr>
        <w:spacing w:line="360" w:lineRule="auto"/>
        <w:rPr>
          <w:rFonts w:ascii="宋体" w:hAnsi="宋体"/>
          <w:szCs w:val="24"/>
        </w:rPr>
      </w:pPr>
      <w:r>
        <w:rPr>
          <w:rFonts w:hint="eastAsia" w:ascii="宋体" w:hAnsi="宋体"/>
          <w:szCs w:val="24"/>
        </w:rPr>
        <w:t>（3）合同条款及格式</w:t>
      </w:r>
    </w:p>
    <w:p>
      <w:pPr>
        <w:spacing w:line="360" w:lineRule="auto"/>
        <w:rPr>
          <w:rFonts w:ascii="宋体" w:hAnsi="宋体"/>
          <w:szCs w:val="24"/>
        </w:rPr>
      </w:pPr>
      <w:r>
        <w:rPr>
          <w:rFonts w:hint="eastAsia" w:ascii="宋体" w:hAnsi="宋体"/>
          <w:szCs w:val="24"/>
        </w:rPr>
        <w:t>（4）</w:t>
      </w:r>
      <w:r>
        <w:rPr>
          <w:rFonts w:hint="eastAsia"/>
          <w:szCs w:val="32"/>
        </w:rPr>
        <w:t>采购内容及技术要求</w:t>
      </w:r>
    </w:p>
    <w:p>
      <w:pPr>
        <w:spacing w:line="360" w:lineRule="auto"/>
        <w:rPr>
          <w:rFonts w:ascii="宋体" w:hAnsi="宋体"/>
          <w:szCs w:val="24"/>
        </w:rPr>
      </w:pPr>
      <w:r>
        <w:rPr>
          <w:rFonts w:hint="eastAsia" w:ascii="宋体" w:hAnsi="宋体"/>
          <w:szCs w:val="24"/>
        </w:rPr>
        <w:t>（5）响应文件格式</w:t>
      </w:r>
    </w:p>
    <w:p>
      <w:pPr>
        <w:spacing w:line="360" w:lineRule="auto"/>
        <w:rPr>
          <w:rFonts w:ascii="宋体" w:hAnsi="宋体"/>
          <w:szCs w:val="24"/>
        </w:rPr>
      </w:pPr>
      <w:r>
        <w:rPr>
          <w:rFonts w:hint="eastAsia" w:ascii="宋体" w:hAnsi="宋体"/>
          <w:szCs w:val="24"/>
        </w:rPr>
        <w:t>7、磋商文件的澄清及修改</w:t>
      </w:r>
    </w:p>
    <w:p>
      <w:pPr>
        <w:spacing w:line="360" w:lineRule="auto"/>
        <w:ind w:firstLine="480" w:firstLineChars="200"/>
        <w:rPr>
          <w:rFonts w:ascii="宋体" w:hAnsi="宋体"/>
          <w:b/>
          <w:szCs w:val="24"/>
          <w:bdr w:val="single" w:color="auto" w:sz="4" w:space="0"/>
        </w:rPr>
      </w:pPr>
      <w:r>
        <w:rPr>
          <w:rFonts w:hint="eastAsia" w:ascii="宋体" w:hAnsi="宋体"/>
          <w:szCs w:val="24"/>
        </w:rPr>
        <w:t>7.1任何要求对磋商文件进行澄清的投标单位，均应在投标截止期五日前按磋商文件中的通讯地址以书面形式通知采购代理机构，采购代理机构对收到的书面澄清将以书面形式在投标截止期三日前予以答复，并通知其它购买磋商文件的投标单位。</w:t>
      </w:r>
      <w:r>
        <w:rPr>
          <w:rFonts w:hint="eastAsia" w:ascii="宋体" w:hAnsi="宋体"/>
          <w:b/>
          <w:szCs w:val="24"/>
          <w:bdr w:val="single" w:color="auto" w:sz="4" w:space="0"/>
        </w:rPr>
        <w:t>对磋商文件中有难以理解或参数有疑义的内容，须在规定时间内提交书面资料，否则视为对磋商文件再无疑义，因此带来的一切不利后果由投标单位自负。</w:t>
      </w:r>
    </w:p>
    <w:p>
      <w:pPr>
        <w:spacing w:line="360" w:lineRule="auto"/>
        <w:ind w:firstLine="480" w:firstLineChars="200"/>
        <w:rPr>
          <w:rFonts w:ascii="宋体" w:hAnsi="宋体"/>
          <w:szCs w:val="24"/>
        </w:rPr>
      </w:pPr>
      <w:r>
        <w:rPr>
          <w:rFonts w:hint="eastAsia" w:ascii="宋体" w:hAnsi="宋体"/>
          <w:szCs w:val="24"/>
        </w:rPr>
        <w:t>7.2采购代理机构对已发出的磋商文件进行必要澄清或者修改的，在磋商文件要求提交投标文件截止时间五日前，以书面形式通知所有购买磋商文件的投标单位，该澄清或者修改的内容作为磋商文件的组成部分，与其具有同等法律效力；</w:t>
      </w:r>
    </w:p>
    <w:p>
      <w:pPr>
        <w:spacing w:line="360" w:lineRule="auto"/>
        <w:ind w:firstLine="480" w:firstLineChars="200"/>
        <w:rPr>
          <w:rFonts w:ascii="宋体" w:hAnsi="宋体" w:eastAsiaTheme="minorEastAsia" w:cstheme="minorBidi"/>
          <w:szCs w:val="24"/>
        </w:rPr>
      </w:pPr>
      <w:r>
        <w:rPr>
          <w:rFonts w:hint="eastAsia" w:ascii="宋体" w:hAnsi="宋体"/>
          <w:szCs w:val="24"/>
        </w:rPr>
        <w:t>7.3为方便投标单位对磋商文件修改或澄清内容有充分的时间进行补充修改，采购代理机构可延长投标截止时间和开标时间，均应在磋商文件要求提交投标文件的截止时间五日前，将变更时间书面通知所有购买磋商文件的投标单位。</w:t>
      </w:r>
    </w:p>
    <w:p>
      <w:pPr>
        <w:spacing w:line="360" w:lineRule="auto"/>
        <w:rPr>
          <w:rFonts w:ascii="宋体" w:hAnsi="宋体"/>
          <w:szCs w:val="24"/>
        </w:rPr>
      </w:pPr>
      <w:r>
        <w:rPr>
          <w:rFonts w:hint="eastAsia" w:ascii="宋体" w:hAnsi="宋体"/>
          <w:szCs w:val="24"/>
        </w:rPr>
        <w:t>8、投标单位信用记录查询及政府采购项目需要落实的政策</w:t>
      </w:r>
    </w:p>
    <w:p>
      <w:pPr>
        <w:spacing w:line="360" w:lineRule="auto"/>
        <w:ind w:firstLine="480" w:firstLineChars="200"/>
        <w:rPr>
          <w:rFonts w:ascii="宋体" w:hAnsi="宋体"/>
          <w:szCs w:val="24"/>
        </w:rPr>
      </w:pPr>
      <w:r>
        <w:rPr>
          <w:rFonts w:hint="eastAsia" w:ascii="宋体" w:hAnsi="宋体"/>
          <w:szCs w:val="24"/>
        </w:rPr>
        <w:t xml:space="preserve">8.1采购项目需要落实的政府采购政策：依据《中华人民共和国政府采购法》和《中华人民共和国政府采购实施条例》的有关规定，落实政府采购政策。 </w:t>
      </w:r>
    </w:p>
    <w:p>
      <w:pPr>
        <w:spacing w:line="360" w:lineRule="auto"/>
        <w:ind w:firstLine="480" w:firstLineChars="200"/>
        <w:rPr>
          <w:rFonts w:ascii="宋体" w:hAnsi="宋体"/>
          <w:szCs w:val="24"/>
        </w:rPr>
      </w:pPr>
      <w:r>
        <w:rPr>
          <w:rFonts w:hint="eastAsia" w:ascii="宋体" w:hAnsi="宋体"/>
          <w:szCs w:val="24"/>
        </w:rPr>
        <w:t xml:space="preserve">1、《政府采购促进中小企业发展暂行办法》； </w:t>
      </w:r>
    </w:p>
    <w:p>
      <w:pPr>
        <w:spacing w:line="360" w:lineRule="auto"/>
        <w:ind w:firstLine="480" w:firstLineChars="200"/>
        <w:rPr>
          <w:rFonts w:ascii="宋体" w:hAnsi="宋体"/>
          <w:szCs w:val="24"/>
        </w:rPr>
      </w:pPr>
      <w:r>
        <w:rPr>
          <w:rFonts w:hint="eastAsia" w:ascii="宋体" w:hAnsi="宋体"/>
          <w:szCs w:val="24"/>
        </w:rPr>
        <w:t xml:space="preserve">2、《财政部 司法部关于政府采购支持监狱企业发展有关问题的通知》； </w:t>
      </w:r>
    </w:p>
    <w:p>
      <w:pPr>
        <w:spacing w:line="360" w:lineRule="auto"/>
        <w:ind w:firstLine="480" w:firstLineChars="200"/>
        <w:rPr>
          <w:rFonts w:ascii="宋体" w:hAnsi="宋体"/>
          <w:szCs w:val="24"/>
        </w:rPr>
      </w:pPr>
      <w:r>
        <w:rPr>
          <w:rFonts w:hint="eastAsia" w:ascii="宋体" w:hAnsi="宋体"/>
          <w:szCs w:val="24"/>
        </w:rPr>
        <w:t xml:space="preserve">3、《国务院办公厅关于建立政府强制采购节能产品制度的通知》； </w:t>
      </w:r>
    </w:p>
    <w:p>
      <w:pPr>
        <w:spacing w:line="360" w:lineRule="auto"/>
        <w:ind w:firstLine="480" w:firstLineChars="200"/>
        <w:rPr>
          <w:rFonts w:ascii="宋体" w:hAnsi="宋体"/>
          <w:szCs w:val="24"/>
        </w:rPr>
      </w:pPr>
      <w:r>
        <w:rPr>
          <w:rFonts w:hint="eastAsia" w:ascii="宋体" w:hAnsi="宋体"/>
          <w:szCs w:val="24"/>
        </w:rPr>
        <w:t xml:space="preserve">4、《环境标志产品政府采购实施的意见》。 </w:t>
      </w:r>
    </w:p>
    <w:p>
      <w:pPr>
        <w:spacing w:line="360" w:lineRule="auto"/>
        <w:ind w:firstLine="480" w:firstLineChars="200"/>
        <w:rPr>
          <w:rFonts w:ascii="宋体" w:hAnsi="宋体"/>
          <w:szCs w:val="24"/>
        </w:rPr>
      </w:pPr>
      <w:r>
        <w:rPr>
          <w:rFonts w:hint="eastAsia" w:ascii="宋体" w:hAnsi="宋体"/>
          <w:szCs w:val="24"/>
        </w:rPr>
        <w:t>5、关于小微企业、监狱企业、福利性企业的说明：</w:t>
      </w:r>
    </w:p>
    <w:p>
      <w:pPr>
        <w:spacing w:line="360" w:lineRule="auto"/>
        <w:ind w:firstLine="480" w:firstLineChars="200"/>
        <w:rPr>
          <w:rFonts w:ascii="宋体" w:hAnsi="宋体"/>
          <w:szCs w:val="24"/>
        </w:rPr>
      </w:pPr>
      <w:r>
        <w:rPr>
          <w:rFonts w:hint="eastAsia" w:ascii="宋体" w:hAnsi="宋体"/>
          <w:szCs w:val="24"/>
        </w:rPr>
        <w:t>根据《工业和信息化部、国家统计局、国家发展和改革委员会、财政部关于印发中小企业划型标准规定的通知》（工信部联企业[2011]300号）规定的划分标准：</w:t>
      </w:r>
    </w:p>
    <w:p>
      <w:pPr>
        <w:spacing w:line="360" w:lineRule="auto"/>
        <w:ind w:firstLine="480" w:firstLineChars="200"/>
        <w:rPr>
          <w:rFonts w:ascii="宋体" w:hAnsi="宋体"/>
          <w:szCs w:val="24"/>
        </w:rPr>
      </w:pPr>
      <w:r>
        <w:rPr>
          <w:rFonts w:hint="eastAsia" w:ascii="宋体" w:hAnsi="宋体"/>
          <w:szCs w:val="24"/>
        </w:rPr>
        <w:t>a.如投标单位为小型、微型企业，对其所投货物（或服务）为小型和微型企业产品的价格给予6%的扣除，扣除后的价格为其评标价；</w:t>
      </w:r>
    </w:p>
    <w:p>
      <w:pPr>
        <w:spacing w:line="360" w:lineRule="auto"/>
        <w:ind w:firstLine="480" w:firstLineChars="200"/>
        <w:rPr>
          <w:rFonts w:ascii="宋体" w:hAnsi="宋体"/>
          <w:szCs w:val="24"/>
        </w:rPr>
      </w:pPr>
      <w:r>
        <w:rPr>
          <w:rFonts w:hint="eastAsia" w:ascii="宋体" w:hAnsi="宋体"/>
          <w:szCs w:val="24"/>
        </w:rPr>
        <w:t xml:space="preserve">b.投标单位须提供中小企业管理部门开具的中小企业证明函，以此为依据享受政府采购政策。 </w:t>
      </w:r>
    </w:p>
    <w:p>
      <w:pPr>
        <w:spacing w:line="360" w:lineRule="auto"/>
        <w:ind w:firstLine="480" w:firstLineChars="200"/>
        <w:rPr>
          <w:rFonts w:ascii="宋体" w:hAnsi="宋体"/>
          <w:szCs w:val="24"/>
        </w:rPr>
      </w:pPr>
      <w:r>
        <w:rPr>
          <w:rFonts w:hint="eastAsia" w:ascii="宋体" w:hAnsi="宋体"/>
          <w:szCs w:val="24"/>
        </w:rPr>
        <w:t>c.投标单位出具《中小企业声明函》，同时还需有财务审计资质的单位出具的上一年度财务审计报告、从业人员证明（养老保险缴纳证明或劳动合同），由评审委员会审定，符合条件的企业享受政府采购政策。</w:t>
      </w:r>
    </w:p>
    <w:p>
      <w:pPr>
        <w:spacing w:line="360" w:lineRule="auto"/>
        <w:ind w:firstLine="480" w:firstLineChars="200"/>
        <w:rPr>
          <w:rFonts w:ascii="宋体" w:hAnsi="宋体"/>
          <w:szCs w:val="24"/>
        </w:rPr>
      </w:pPr>
      <w:r>
        <w:rPr>
          <w:rFonts w:hint="eastAsia" w:ascii="宋体" w:hAnsi="宋体"/>
          <w:szCs w:val="24"/>
        </w:rPr>
        <w:t>d.关于监狱企业、福利企业：视同小微企业；</w:t>
      </w:r>
    </w:p>
    <w:p>
      <w:pPr>
        <w:spacing w:line="360" w:lineRule="auto"/>
        <w:ind w:firstLine="480" w:firstLineChars="200"/>
        <w:rPr>
          <w:rFonts w:ascii="宋体" w:hAnsi="宋体"/>
          <w:szCs w:val="24"/>
        </w:rPr>
      </w:pPr>
      <w:r>
        <w:rPr>
          <w:rFonts w:hint="eastAsia" w:ascii="宋体" w:hAnsi="宋体"/>
          <w:szCs w:val="24"/>
        </w:rPr>
        <w:t>e.小微企业、监狱企业、福利性企业须提供相应资格证明文件，小微企业还须按格式要求填写声明函。</w:t>
      </w:r>
    </w:p>
    <w:p>
      <w:pPr>
        <w:spacing w:line="360" w:lineRule="auto"/>
        <w:jc w:val="center"/>
        <w:rPr>
          <w:rFonts w:ascii="宋体" w:hAnsi="宋体" w:eastAsiaTheme="minorEastAsia" w:cstheme="minorBidi"/>
          <w:b/>
          <w:szCs w:val="24"/>
        </w:rPr>
      </w:pPr>
      <w:r>
        <w:rPr>
          <w:rFonts w:hint="eastAsia" w:ascii="宋体" w:hAnsi="宋体"/>
          <w:b/>
          <w:szCs w:val="24"/>
        </w:rPr>
        <w:t>（三）竞争性磋商响应文件的编写</w:t>
      </w:r>
    </w:p>
    <w:p>
      <w:pPr>
        <w:spacing w:line="360" w:lineRule="auto"/>
        <w:rPr>
          <w:rFonts w:ascii="宋体" w:hAnsi="宋体"/>
          <w:szCs w:val="24"/>
        </w:rPr>
      </w:pPr>
      <w:r>
        <w:rPr>
          <w:rFonts w:hint="eastAsia" w:ascii="宋体" w:hAnsi="宋体"/>
          <w:szCs w:val="24"/>
        </w:rPr>
        <w:t>9、响应文件的构成</w:t>
      </w:r>
    </w:p>
    <w:p>
      <w:pPr>
        <w:spacing w:line="360" w:lineRule="auto"/>
        <w:rPr>
          <w:rFonts w:ascii="宋体" w:hAnsi="宋体"/>
          <w:szCs w:val="24"/>
        </w:rPr>
      </w:pPr>
      <w:r>
        <w:rPr>
          <w:rFonts w:hint="eastAsia" w:ascii="宋体" w:hAnsi="宋体"/>
          <w:szCs w:val="24"/>
        </w:rPr>
        <w:t>详见磋商文件中第五章“响应文件格式”及磋商文件要求提供的资格证书原件。</w:t>
      </w:r>
    </w:p>
    <w:p>
      <w:pPr>
        <w:spacing w:line="360" w:lineRule="auto"/>
        <w:rPr>
          <w:rFonts w:ascii="宋体" w:hAnsi="宋体"/>
          <w:szCs w:val="24"/>
        </w:rPr>
      </w:pPr>
      <w:r>
        <w:rPr>
          <w:rFonts w:hint="eastAsia" w:ascii="宋体" w:hAnsi="宋体"/>
          <w:szCs w:val="24"/>
        </w:rPr>
        <w:t>10、磋商报价</w:t>
      </w:r>
    </w:p>
    <w:p>
      <w:pPr>
        <w:spacing w:line="360" w:lineRule="auto"/>
        <w:ind w:firstLine="480" w:firstLineChars="200"/>
        <w:rPr>
          <w:rFonts w:ascii="宋体" w:hAnsi="宋体"/>
          <w:b/>
          <w:szCs w:val="24"/>
        </w:rPr>
      </w:pPr>
      <w:r>
        <w:rPr>
          <w:rFonts w:hint="eastAsia" w:ascii="宋体" w:hAnsi="宋体"/>
          <w:szCs w:val="24"/>
        </w:rPr>
        <w:t>10.1 所有磋商报价均以人民币报价。单位为元，精确到分。</w:t>
      </w:r>
      <w:r>
        <w:rPr>
          <w:rFonts w:hint="eastAsia" w:ascii="宋体" w:hAnsi="宋体"/>
          <w:b/>
          <w:szCs w:val="24"/>
        </w:rPr>
        <w:t>报价大于预算价时，按无效报价处理，且不进第二轮报价。本项目不公开唱价。</w:t>
      </w:r>
    </w:p>
    <w:p>
      <w:pPr>
        <w:spacing w:line="360" w:lineRule="auto"/>
        <w:ind w:firstLine="480" w:firstLineChars="200"/>
        <w:rPr>
          <w:rFonts w:ascii="宋体" w:hAnsi="宋体"/>
          <w:szCs w:val="24"/>
        </w:rPr>
      </w:pPr>
      <w:r>
        <w:rPr>
          <w:rFonts w:hint="eastAsia" w:ascii="宋体" w:hAnsi="宋体"/>
          <w:szCs w:val="24"/>
        </w:rPr>
        <w:t>10.2供应商依据磋商文件提供的招标要求等资料并自行考虑风险因素计算磋商报价，磋商报价应包括但不限于：陕西学前师范学院体质评价与运动干预实践教学创新平台建设项目的工作以及相关的义务的所有费用。一旦成交，磋商报价将不会因国家政策调整及市场变化因素而得到调整。</w:t>
      </w:r>
    </w:p>
    <w:p>
      <w:pPr>
        <w:spacing w:line="360" w:lineRule="auto"/>
        <w:ind w:firstLine="480" w:firstLineChars="200"/>
        <w:rPr>
          <w:rFonts w:ascii="宋体" w:hAnsi="宋体"/>
          <w:szCs w:val="24"/>
        </w:rPr>
      </w:pPr>
      <w:r>
        <w:rPr>
          <w:rFonts w:hint="eastAsia" w:ascii="宋体" w:hAnsi="宋体"/>
          <w:szCs w:val="24"/>
        </w:rPr>
        <w:t>10.3供应商必须就整个项目进行响应，不得将整个项目中的内容拆开响应。拆开响应的，按无效响应文件处理。</w:t>
      </w:r>
    </w:p>
    <w:p>
      <w:pPr>
        <w:spacing w:line="360" w:lineRule="auto"/>
        <w:ind w:firstLine="480" w:firstLineChars="200"/>
        <w:rPr>
          <w:rFonts w:ascii="宋体" w:hAnsi="宋体"/>
          <w:szCs w:val="24"/>
        </w:rPr>
      </w:pPr>
      <w:r>
        <w:rPr>
          <w:rFonts w:hint="eastAsia" w:ascii="宋体" w:hAnsi="宋体"/>
          <w:szCs w:val="24"/>
        </w:rPr>
        <w:t>10.4凡因供应商对磋商文件阅读不深、理解不透、误解、疏漏、或因市场行情了解不清造成的后果和风险均由磋商供应商自负。磋商响应过程中所产生的一切费用由磋商供应商自行承担。</w:t>
      </w:r>
    </w:p>
    <w:p>
      <w:pPr>
        <w:spacing w:line="360" w:lineRule="auto"/>
        <w:rPr>
          <w:rFonts w:ascii="宋体" w:hAnsi="宋体"/>
          <w:szCs w:val="24"/>
        </w:rPr>
      </w:pPr>
      <w:r>
        <w:rPr>
          <w:rFonts w:hint="eastAsia" w:ascii="宋体" w:hAnsi="宋体"/>
          <w:szCs w:val="24"/>
        </w:rPr>
        <w:t>11、响应文件的编制</w:t>
      </w:r>
    </w:p>
    <w:p>
      <w:pPr>
        <w:spacing w:line="360" w:lineRule="auto"/>
        <w:ind w:firstLine="480" w:firstLineChars="200"/>
        <w:rPr>
          <w:rFonts w:ascii="宋体" w:hAnsi="宋体"/>
          <w:szCs w:val="24"/>
        </w:rPr>
      </w:pPr>
      <w:r>
        <w:rPr>
          <w:rFonts w:hint="eastAsia" w:ascii="宋体" w:hAnsi="宋体"/>
          <w:szCs w:val="24"/>
        </w:rPr>
        <w:t>11.1响应文件应按第五章“响应文件格式”所要求的全部内容编制。</w:t>
      </w:r>
    </w:p>
    <w:p>
      <w:pPr>
        <w:spacing w:line="360" w:lineRule="auto"/>
        <w:ind w:firstLine="480" w:firstLineChars="200"/>
        <w:rPr>
          <w:rFonts w:ascii="宋体" w:hAnsi="宋体"/>
          <w:szCs w:val="24"/>
        </w:rPr>
      </w:pPr>
      <w:r>
        <w:rPr>
          <w:rFonts w:hint="eastAsia" w:ascii="宋体" w:hAnsi="宋体"/>
          <w:szCs w:val="24"/>
        </w:rPr>
        <w:t>11.2响应文件应用不褪色的材料书写或打印，并由供应商的法人代表或法定代表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未按本条规定办理的，视同签字、盖章不全。</w:t>
      </w:r>
    </w:p>
    <w:p>
      <w:pPr>
        <w:spacing w:line="360" w:lineRule="auto"/>
        <w:ind w:firstLine="480" w:firstLineChars="200"/>
        <w:rPr>
          <w:rFonts w:ascii="宋体" w:hAnsi="宋体"/>
          <w:szCs w:val="24"/>
        </w:rPr>
      </w:pPr>
      <w:r>
        <w:rPr>
          <w:rFonts w:hint="eastAsia" w:ascii="宋体" w:hAnsi="宋体"/>
          <w:szCs w:val="24"/>
        </w:rPr>
        <w:t>11.3响应文件必须用A4幅面纸打印或用不褪色蓝（黑）墨水（汁）书写，编制目录及页码并胶装成册。响应文件应按磋商文件规定的格式填写、签署和盖章。</w:t>
      </w:r>
    </w:p>
    <w:p>
      <w:pPr>
        <w:spacing w:line="360" w:lineRule="auto"/>
        <w:ind w:firstLine="480" w:firstLineChars="200"/>
        <w:rPr>
          <w:rFonts w:ascii="宋体" w:hAnsi="宋体"/>
          <w:szCs w:val="24"/>
        </w:rPr>
      </w:pPr>
      <w:r>
        <w:rPr>
          <w:rFonts w:hint="eastAsia" w:ascii="宋体" w:hAnsi="宋体"/>
          <w:szCs w:val="24"/>
        </w:rPr>
        <w:t>11.4响应文件正本壹份, 副本叁份，电子版一份(光盘或U盘，应包含所有投标文件内容)装入标书正本袋内，随投标文件一同递交。正本和副本的封面上应清楚地标记“正本”或“副本”的字样。当副本和正本不一致时，以正本为准。</w:t>
      </w:r>
    </w:p>
    <w:p>
      <w:pPr>
        <w:spacing w:line="360" w:lineRule="auto"/>
        <w:rPr>
          <w:rFonts w:ascii="宋体" w:hAnsi="宋体"/>
          <w:szCs w:val="24"/>
        </w:rPr>
      </w:pPr>
      <w:bookmarkStart w:id="12" w:name="_Toc394934424"/>
      <w:bookmarkStart w:id="13" w:name="_Toc246928911"/>
      <w:bookmarkStart w:id="14" w:name="_Toc317248152"/>
      <w:r>
        <w:rPr>
          <w:rFonts w:hint="eastAsia" w:ascii="宋体" w:hAnsi="宋体"/>
          <w:szCs w:val="24"/>
        </w:rPr>
        <w:t>12、供应商资质证明文件</w:t>
      </w:r>
      <w:bookmarkEnd w:id="12"/>
      <w:bookmarkEnd w:id="13"/>
    </w:p>
    <w:p>
      <w:pPr>
        <w:pStyle w:val="16"/>
        <w:spacing w:line="440" w:lineRule="exact"/>
        <w:ind w:firstLine="434" w:firstLineChars="181"/>
        <w:rPr>
          <w:rFonts w:ascii="宋体" w:hAnsi="宋体"/>
          <w:sz w:val="24"/>
          <w:szCs w:val="24"/>
        </w:rPr>
      </w:pPr>
      <w:r>
        <w:rPr>
          <w:rFonts w:hint="eastAsia" w:ascii="宋体" w:hAnsi="宋体"/>
          <w:sz w:val="24"/>
          <w:szCs w:val="24"/>
        </w:rPr>
        <w:t>12.1符合《中华人民共和国政府采购法》第二十二条（</w:t>
      </w:r>
      <w:r>
        <w:rPr>
          <w:rFonts w:hint="eastAsia" w:ascii="宋体" w:hAnsi="宋体"/>
          <w:b/>
          <w:bCs/>
          <w:sz w:val="24"/>
          <w:szCs w:val="24"/>
        </w:rPr>
        <w:t>本条需提供原件有：2017年财务审计报告或近三个月银行资信证明、社会保障资金证明材料及近三个月完税证明材料</w:t>
      </w:r>
      <w:r>
        <w:rPr>
          <w:rFonts w:hint="eastAsia" w:ascii="宋体" w:hAnsi="宋体"/>
          <w:sz w:val="24"/>
          <w:szCs w:val="24"/>
        </w:rPr>
        <w:t>）；</w:t>
      </w:r>
    </w:p>
    <w:p>
      <w:pPr>
        <w:pStyle w:val="16"/>
        <w:spacing w:line="480" w:lineRule="exact"/>
        <w:ind w:firstLine="480"/>
        <w:rPr>
          <w:rFonts w:ascii="宋体" w:hAnsi="宋体"/>
          <w:sz w:val="24"/>
          <w:szCs w:val="24"/>
        </w:rPr>
      </w:pPr>
      <w:r>
        <w:rPr>
          <w:rFonts w:hint="eastAsia" w:ascii="宋体" w:hAnsi="宋体"/>
          <w:sz w:val="24"/>
          <w:szCs w:val="24"/>
        </w:rPr>
        <w:t>12.2、合法注册的法人应提供营业执照（或事业法人证）、组织机构代码证、税务登记证（提供年检证明文件）或统一社会信用代码的营业执照（提供2017年或2018年企业信息公示年度报告）或其他组织应提供合法证明文件或自然人提供身份证件；</w:t>
      </w:r>
    </w:p>
    <w:p>
      <w:pPr>
        <w:pStyle w:val="16"/>
        <w:spacing w:line="480" w:lineRule="exact"/>
        <w:ind w:firstLine="480"/>
        <w:rPr>
          <w:rFonts w:ascii="宋体" w:hAnsi="宋体"/>
          <w:sz w:val="24"/>
          <w:szCs w:val="24"/>
        </w:rPr>
      </w:pPr>
      <w:r>
        <w:rPr>
          <w:rFonts w:hint="eastAsia" w:ascii="宋体" w:hAnsi="宋体"/>
          <w:sz w:val="24"/>
          <w:szCs w:val="24"/>
        </w:rPr>
        <w:t>12.3、供应商应具有独立承担民事责任的能力且具备向采购人提供相关服务的企业法人、事业法人或其他组织，供应商应授权合法的人员参加投标全过程，其中法定代表人直接参加投标的，须出具法定代表人身份证，并与营业执照上信息一致；法定代表人授权代表参加投标的，须出具法定代表人授权书及授权代表身份证以及本单位证明（劳动合同或社保证明）；</w:t>
      </w:r>
    </w:p>
    <w:p>
      <w:pPr>
        <w:pStyle w:val="16"/>
        <w:spacing w:line="480" w:lineRule="exact"/>
        <w:ind w:firstLine="480"/>
        <w:rPr>
          <w:rFonts w:ascii="宋体" w:hAnsi="宋体"/>
          <w:sz w:val="24"/>
          <w:szCs w:val="24"/>
        </w:rPr>
      </w:pPr>
      <w:r>
        <w:rPr>
          <w:rFonts w:hint="eastAsia" w:ascii="宋体" w:hAnsi="宋体"/>
          <w:sz w:val="24"/>
          <w:szCs w:val="24"/>
        </w:rPr>
        <w:t>12.4、提供采购代理机构出具的投标保证金收据或担保机构出具的保函；</w:t>
      </w:r>
    </w:p>
    <w:p>
      <w:pPr>
        <w:spacing w:line="500" w:lineRule="exact"/>
        <w:ind w:firstLine="480" w:firstLineChars="200"/>
        <w:rPr>
          <w:color w:val="000000"/>
          <w:szCs w:val="22"/>
        </w:rPr>
      </w:pPr>
      <w:r>
        <w:rPr>
          <w:rFonts w:hint="eastAsia"/>
          <w:color w:val="000000"/>
          <w:szCs w:val="22"/>
        </w:rPr>
        <w:t>12.5、供应商为生产厂家的须提供医疗器械生产许可证和所投产品的医疗器械产品注册证；供应商为代理经销商的须提供医疗器械经营许可证和所投产品的医疗器械产品注册证（换证期间须提供相关管理机构的证明文件）；若为进口产品需提供“进”字号注册证及产品授权书。</w:t>
      </w:r>
    </w:p>
    <w:p>
      <w:pPr>
        <w:pStyle w:val="16"/>
        <w:spacing w:line="480" w:lineRule="exact"/>
        <w:ind w:firstLine="480"/>
        <w:rPr>
          <w:rFonts w:ascii="宋体" w:hAnsi="宋体"/>
          <w:sz w:val="24"/>
          <w:szCs w:val="24"/>
        </w:rPr>
      </w:pPr>
      <w:r>
        <w:rPr>
          <w:rFonts w:hint="eastAsia" w:ascii="宋体" w:hAnsi="宋体"/>
          <w:sz w:val="24"/>
          <w:szCs w:val="24"/>
        </w:rPr>
        <w:t>12.6、供应商不得为“中华人民共和国最高人民法院”网站（www.court.gov.cn）被列入失信被执行人名单的供应商，“信用中国”网站（www.creditchina.gov.cn）中被列入重大税收违法案件当事人名单的供应商，“中国政府采购”网站（www.ccgp.gov.cn）政府采购严重违法失信行为记录名单中被财政部门禁止参加政府采购活动的供应商（提供以上查询结果网页截图），并提供参加政府采购活动前3年内在经营活动中没有重大违法记录的书面声明。</w:t>
      </w:r>
    </w:p>
    <w:p>
      <w:pPr>
        <w:spacing w:line="360" w:lineRule="auto"/>
        <w:rPr>
          <w:rFonts w:ascii="宋体" w:hAnsi="宋体"/>
          <w:b/>
          <w:szCs w:val="24"/>
        </w:rPr>
      </w:pPr>
      <w:r>
        <w:rPr>
          <w:rFonts w:hint="eastAsia" w:ascii="宋体" w:hAnsi="宋体"/>
          <w:b/>
          <w:szCs w:val="24"/>
        </w:rPr>
        <w:t>以上资格证明文件为供应商的必备文件，开标当天，请将上述资格证明文件原件单独密封，同响应文件一起递交。资格审查结束，退还供应商资格证明材料原件（磋商担保函的要求按照磋商保证金中具体规定执行）。</w:t>
      </w:r>
    </w:p>
    <w:p>
      <w:pPr>
        <w:spacing w:line="360" w:lineRule="auto"/>
        <w:ind w:firstLine="480" w:firstLineChars="200"/>
        <w:rPr>
          <w:rFonts w:ascii="宋体" w:hAnsi="宋体"/>
          <w:szCs w:val="24"/>
        </w:rPr>
      </w:pPr>
      <w:r>
        <w:rPr>
          <w:rFonts w:hint="eastAsia" w:ascii="宋体" w:hAnsi="宋体"/>
          <w:szCs w:val="24"/>
        </w:rPr>
        <w:t>12.4本项目不接受联合体磋商。</w:t>
      </w:r>
    </w:p>
    <w:p>
      <w:pPr>
        <w:spacing w:line="360" w:lineRule="auto"/>
        <w:ind w:firstLine="482" w:firstLineChars="200"/>
        <w:rPr>
          <w:rFonts w:ascii="宋体" w:hAnsi="宋体"/>
          <w:b/>
          <w:szCs w:val="24"/>
        </w:rPr>
      </w:pPr>
      <w:r>
        <w:rPr>
          <w:rFonts w:hint="eastAsia" w:ascii="宋体" w:hAnsi="宋体"/>
          <w:b/>
          <w:szCs w:val="24"/>
        </w:rPr>
        <w:t>若供应商资质证明文件及其他不符合要求，将按无效磋商处理。</w:t>
      </w:r>
    </w:p>
    <w:bookmarkEnd w:id="14"/>
    <w:p>
      <w:pPr>
        <w:spacing w:line="360" w:lineRule="auto"/>
        <w:rPr>
          <w:rFonts w:ascii="宋体" w:hAnsi="宋体"/>
          <w:szCs w:val="24"/>
        </w:rPr>
      </w:pPr>
      <w:r>
        <w:rPr>
          <w:rFonts w:hint="eastAsia" w:ascii="宋体" w:hAnsi="宋体"/>
          <w:szCs w:val="24"/>
        </w:rPr>
        <w:t>13、磋商有效期</w:t>
      </w:r>
    </w:p>
    <w:p>
      <w:pPr>
        <w:spacing w:line="360" w:lineRule="auto"/>
        <w:ind w:firstLine="480" w:firstLineChars="200"/>
        <w:rPr>
          <w:rFonts w:ascii="宋体" w:hAnsi="宋体"/>
          <w:szCs w:val="24"/>
        </w:rPr>
      </w:pPr>
      <w:r>
        <w:rPr>
          <w:rFonts w:hint="eastAsia" w:ascii="宋体" w:hAnsi="宋体"/>
          <w:szCs w:val="24"/>
        </w:rPr>
        <w:t xml:space="preserve">13.1响应文件从磋商之日起，磋商有效期为90日历天。响应文件中所有要求的证明文件的有效期比本须知规定的有效期短的，将被视为非响应磋商，采购人有权拒绝。 </w:t>
      </w:r>
    </w:p>
    <w:p>
      <w:pPr>
        <w:spacing w:line="360" w:lineRule="auto"/>
        <w:ind w:firstLine="480" w:firstLineChars="200"/>
        <w:rPr>
          <w:rFonts w:ascii="宋体" w:hAnsi="宋体"/>
          <w:szCs w:val="24"/>
        </w:rPr>
      </w:pPr>
      <w:r>
        <w:rPr>
          <w:rFonts w:hint="eastAsia" w:ascii="宋体" w:hAnsi="宋体"/>
          <w:szCs w:val="24"/>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pPr>
        <w:spacing w:line="360" w:lineRule="auto"/>
        <w:rPr>
          <w:rFonts w:ascii="宋体" w:hAnsi="宋体"/>
          <w:szCs w:val="24"/>
        </w:rPr>
      </w:pPr>
      <w:r>
        <w:rPr>
          <w:rFonts w:hint="eastAsia" w:ascii="宋体" w:hAnsi="宋体"/>
          <w:szCs w:val="24"/>
        </w:rPr>
        <w:t>14、磋商保证金：</w:t>
      </w:r>
    </w:p>
    <w:p>
      <w:pPr>
        <w:spacing w:line="360" w:lineRule="auto"/>
        <w:ind w:firstLine="480" w:firstLineChars="200"/>
        <w:rPr>
          <w:rFonts w:ascii="宋体" w:hAnsi="宋体"/>
          <w:szCs w:val="24"/>
        </w:rPr>
      </w:pPr>
      <w:r>
        <w:rPr>
          <w:rFonts w:hint="eastAsia" w:ascii="宋体" w:hAnsi="宋体"/>
          <w:szCs w:val="24"/>
        </w:rPr>
        <w:t>14.1磋商保证金：</w:t>
      </w:r>
    </w:p>
    <w:p>
      <w:pPr>
        <w:spacing w:line="360" w:lineRule="auto"/>
        <w:ind w:firstLine="480" w:firstLineChars="200"/>
        <w:rPr>
          <w:rFonts w:ascii="宋体" w:hAnsi="宋体"/>
          <w:szCs w:val="24"/>
          <w:highlight w:val="yellow"/>
        </w:rPr>
      </w:pPr>
      <w:r>
        <w:rPr>
          <w:rFonts w:hint="eastAsia" w:ascii="宋体" w:hAnsi="宋体"/>
          <w:szCs w:val="24"/>
        </w:rPr>
        <w:t>人民币壹万元整（¥10000 .00元）</w:t>
      </w:r>
    </w:p>
    <w:p>
      <w:pPr>
        <w:spacing w:line="360" w:lineRule="auto"/>
        <w:ind w:firstLine="480" w:firstLineChars="200"/>
        <w:rPr>
          <w:rFonts w:ascii="宋体" w:hAnsi="宋体"/>
          <w:szCs w:val="24"/>
        </w:rPr>
      </w:pPr>
      <w:r>
        <w:rPr>
          <w:rFonts w:hint="eastAsia" w:ascii="宋体" w:hAnsi="宋体"/>
          <w:szCs w:val="24"/>
        </w:rPr>
        <w:t>14.2磋商保证金的有效期与磋商有效期一致。</w:t>
      </w:r>
    </w:p>
    <w:p>
      <w:pPr>
        <w:spacing w:line="360" w:lineRule="auto"/>
        <w:ind w:firstLine="480" w:firstLineChars="200"/>
        <w:rPr>
          <w:rFonts w:ascii="宋体" w:hAnsi="宋体"/>
          <w:szCs w:val="24"/>
        </w:rPr>
      </w:pPr>
      <w:r>
        <w:rPr>
          <w:rFonts w:hint="eastAsia" w:ascii="宋体" w:hAnsi="宋体"/>
          <w:szCs w:val="24"/>
        </w:rPr>
        <w:t>14.3磋商保证金的缴纳形式：转账、电汇、担保机构保函</w:t>
      </w:r>
    </w:p>
    <w:p>
      <w:pPr>
        <w:spacing w:line="360" w:lineRule="auto"/>
        <w:ind w:firstLine="480" w:firstLineChars="200"/>
        <w:rPr>
          <w:rFonts w:ascii="宋体" w:hAnsi="宋体"/>
          <w:b/>
          <w:szCs w:val="24"/>
        </w:rPr>
      </w:pPr>
      <w:r>
        <w:rPr>
          <w:rFonts w:hint="eastAsia" w:ascii="宋体" w:hAnsi="宋体"/>
          <w:szCs w:val="24"/>
        </w:rPr>
        <w:t>14.4供应商以银行转账、电汇形式缴纳磋商保证金的，采购结束之后以转账形式退到供应商的账户。</w:t>
      </w:r>
      <w:r>
        <w:rPr>
          <w:rFonts w:hint="eastAsia" w:ascii="宋体" w:hAnsi="宋体"/>
          <w:b/>
          <w:szCs w:val="24"/>
        </w:rPr>
        <w:t>供应商以担保机构保函形式缴纳磋商保证金的，在开标前将担保机构保函原件单独密封提交，采购结束之后将担保机构保函原件退回。</w:t>
      </w:r>
    </w:p>
    <w:p>
      <w:pPr>
        <w:spacing w:line="360" w:lineRule="auto"/>
        <w:rPr>
          <w:rFonts w:ascii="宋体" w:hAnsi="宋体"/>
          <w:szCs w:val="24"/>
        </w:rPr>
      </w:pPr>
      <w:r>
        <w:rPr>
          <w:rFonts w:hint="eastAsia" w:ascii="宋体" w:hAnsi="宋体"/>
          <w:szCs w:val="24"/>
        </w:rPr>
        <w:t>我省确定中国投资担保有限公司、陕西省信用再担保有限责任公司、西安市经济技术投资担保有限公司等三家试点专业担保机构为担保机构。投标供应商可以自愿选择是否采取投标担保函（格式见附件一）的形式交纳投标保证金，也可以自愿选择是否采取履约担保函（格式见附件二）的形式交纳履约保证金。</w:t>
      </w:r>
    </w:p>
    <w:p>
      <w:pPr>
        <w:spacing w:line="360" w:lineRule="auto"/>
        <w:rPr>
          <w:rFonts w:ascii="宋体" w:hAnsi="宋体"/>
          <w:szCs w:val="24"/>
        </w:rPr>
      </w:pPr>
      <w:r>
        <w:rPr>
          <w:rFonts w:hint="eastAsia" w:ascii="宋体" w:hAnsi="宋体"/>
          <w:szCs w:val="24"/>
        </w:rPr>
        <w:t>联系方式如下：</w:t>
      </w:r>
    </w:p>
    <w:tbl>
      <w:tblPr>
        <w:tblStyle w:val="12"/>
        <w:tblW w:w="9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3343"/>
        <w:gridCol w:w="126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单位名称</w:t>
            </w:r>
          </w:p>
        </w:tc>
        <w:tc>
          <w:tcPr>
            <w:tcW w:w="334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地址</w:t>
            </w:r>
          </w:p>
        </w:tc>
        <w:tc>
          <w:tcPr>
            <w:tcW w:w="126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联系人</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中国投资担保有限公司</w:t>
            </w:r>
          </w:p>
        </w:tc>
        <w:tc>
          <w:tcPr>
            <w:tcW w:w="334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北京市海淀区西三环北路100号金玉大厦写字楼9层</w:t>
            </w:r>
          </w:p>
        </w:tc>
        <w:tc>
          <w:tcPr>
            <w:tcW w:w="126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何嘉</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010-88822659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陕西省信用再担保有限责任公司</w:t>
            </w:r>
          </w:p>
        </w:tc>
        <w:tc>
          <w:tcPr>
            <w:tcW w:w="334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西安市高新区唐延路3号旺座国际B座25层</w:t>
            </w:r>
          </w:p>
        </w:tc>
        <w:tc>
          <w:tcPr>
            <w:tcW w:w="126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尹劭青</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029-88606032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西安市经济技术投资担保有限公司</w:t>
            </w:r>
          </w:p>
        </w:tc>
        <w:tc>
          <w:tcPr>
            <w:tcW w:w="334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西安市太白北路320号</w:t>
            </w:r>
          </w:p>
        </w:tc>
        <w:tc>
          <w:tcPr>
            <w:tcW w:w="126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许艳茹</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jc w:val="center"/>
              <w:rPr>
                <w:rFonts w:ascii="宋体" w:hAnsiTheme="minorHAnsi" w:eastAsiaTheme="minorEastAsia"/>
                <w:kern w:val="0"/>
                <w:szCs w:val="24"/>
              </w:rPr>
            </w:pPr>
            <w:r>
              <w:rPr>
                <w:rFonts w:hint="eastAsia" w:ascii="宋体" w:hAnsi="宋体"/>
                <w:kern w:val="0"/>
                <w:szCs w:val="24"/>
              </w:rPr>
              <w:t>029-88480971</w:t>
            </w:r>
          </w:p>
        </w:tc>
      </w:tr>
    </w:tbl>
    <w:p>
      <w:pPr>
        <w:spacing w:line="360" w:lineRule="auto"/>
        <w:ind w:firstLine="480" w:firstLineChars="200"/>
        <w:rPr>
          <w:rFonts w:ascii="宋体" w:hAnsi="宋体" w:eastAsiaTheme="minorEastAsia" w:cstheme="minorBidi"/>
          <w:szCs w:val="24"/>
        </w:rPr>
      </w:pPr>
      <w:r>
        <w:rPr>
          <w:rFonts w:hint="eastAsia" w:ascii="宋体" w:hAnsi="宋体"/>
          <w:szCs w:val="24"/>
        </w:rPr>
        <w:t>14.5供应商以银行转账、电汇形式缴纳磋商保证金的，请将保证金转入以下账户：</w:t>
      </w:r>
    </w:p>
    <w:p>
      <w:pPr>
        <w:spacing w:line="360" w:lineRule="auto"/>
        <w:rPr>
          <w:rFonts w:ascii="宋体" w:hAnsi="宋体"/>
          <w:szCs w:val="24"/>
        </w:rPr>
      </w:pPr>
      <w:r>
        <w:rPr>
          <w:rFonts w:hint="eastAsia" w:ascii="宋体" w:hAnsi="宋体"/>
          <w:szCs w:val="24"/>
        </w:rPr>
        <w:t>收款单位：陕西中财招标代理有限公司</w:t>
      </w:r>
    </w:p>
    <w:p>
      <w:pPr>
        <w:spacing w:line="360" w:lineRule="auto"/>
        <w:rPr>
          <w:rFonts w:ascii="宋体" w:hAnsi="宋体"/>
          <w:szCs w:val="24"/>
        </w:rPr>
      </w:pPr>
      <w:r>
        <w:rPr>
          <w:rFonts w:hint="eastAsia" w:ascii="宋体" w:hAnsi="宋体"/>
          <w:szCs w:val="24"/>
        </w:rPr>
        <w:t xml:space="preserve">开户行名称: 招商银行股份有限公司西安城东支行  </w:t>
      </w:r>
    </w:p>
    <w:p>
      <w:pPr>
        <w:spacing w:line="360" w:lineRule="auto"/>
        <w:rPr>
          <w:rFonts w:ascii="宋体" w:hAnsi="宋体"/>
          <w:szCs w:val="24"/>
        </w:rPr>
      </w:pPr>
      <w:r>
        <w:rPr>
          <w:rFonts w:hint="eastAsia" w:ascii="宋体" w:hAnsi="宋体"/>
          <w:szCs w:val="24"/>
        </w:rPr>
        <w:t>账    号：129907827510202</w:t>
      </w:r>
    </w:p>
    <w:p>
      <w:pPr>
        <w:spacing w:line="360" w:lineRule="auto"/>
        <w:rPr>
          <w:rFonts w:ascii="宋体" w:hAnsi="宋体"/>
          <w:szCs w:val="24"/>
        </w:rPr>
      </w:pPr>
      <w:r>
        <w:rPr>
          <w:rFonts w:hint="eastAsia" w:ascii="宋体" w:hAnsi="宋体"/>
          <w:szCs w:val="24"/>
        </w:rPr>
        <w:t>转账事由：******项目或项目编号保证金。</w:t>
      </w:r>
    </w:p>
    <w:p>
      <w:pPr>
        <w:spacing w:line="360" w:lineRule="auto"/>
        <w:rPr>
          <w:rFonts w:ascii="宋体" w:hAnsi="宋体"/>
          <w:szCs w:val="24"/>
        </w:rPr>
      </w:pPr>
      <w:r>
        <w:rPr>
          <w:rFonts w:hint="eastAsia" w:ascii="宋体" w:hAnsi="宋体"/>
          <w:szCs w:val="24"/>
        </w:rPr>
        <w:t>交款截止时间：2019年6月13日下午17:00前。</w:t>
      </w:r>
    </w:p>
    <w:p>
      <w:pPr>
        <w:spacing w:line="360" w:lineRule="auto"/>
        <w:rPr>
          <w:rFonts w:ascii="宋体" w:hAnsi="宋体"/>
          <w:szCs w:val="24"/>
        </w:rPr>
      </w:pPr>
      <w:r>
        <w:rPr>
          <w:rFonts w:hint="eastAsia" w:ascii="宋体" w:hAnsi="宋体"/>
          <w:szCs w:val="24"/>
        </w:rPr>
        <w:t>注：1.若因转账事由未标注清晰而引起的任何后果由供应商自行承担。</w:t>
      </w:r>
    </w:p>
    <w:p>
      <w:pPr>
        <w:spacing w:line="360" w:lineRule="auto"/>
        <w:ind w:firstLine="482" w:firstLineChars="200"/>
        <w:rPr>
          <w:rFonts w:ascii="宋体" w:hAnsi="宋体"/>
          <w:b/>
          <w:szCs w:val="24"/>
        </w:rPr>
      </w:pPr>
      <w:r>
        <w:rPr>
          <w:rFonts w:hint="eastAsia" w:ascii="宋体" w:hAnsi="宋体"/>
          <w:b/>
          <w:szCs w:val="24"/>
        </w:rPr>
        <w:t>2.磋商保证金须从供应商基本账户转出。</w:t>
      </w:r>
    </w:p>
    <w:p>
      <w:pPr>
        <w:spacing w:line="360" w:lineRule="auto"/>
        <w:ind w:firstLine="480" w:firstLineChars="200"/>
        <w:rPr>
          <w:rFonts w:ascii="宋体" w:hAnsi="宋体"/>
          <w:szCs w:val="24"/>
        </w:rPr>
      </w:pPr>
      <w:r>
        <w:rPr>
          <w:rFonts w:hint="eastAsia" w:ascii="宋体" w:hAnsi="宋体"/>
          <w:szCs w:val="24"/>
        </w:rPr>
        <w:t>14.6磋商保证金到达采购代理机构指定账户后，供应商须与采购代理公司联系确认，确认到帐后换取收款收据（换取收款收据时需提供转款凭证），同时请将采购代理机构出具的收款凭证复印件或担保机构出具的保函复印件按照竞争性磋商文件要求编辑在响应文件中。</w:t>
      </w:r>
    </w:p>
    <w:p>
      <w:pPr>
        <w:spacing w:line="360" w:lineRule="auto"/>
        <w:ind w:firstLine="482" w:firstLineChars="200"/>
        <w:rPr>
          <w:rFonts w:ascii="宋体" w:hAnsi="宋体"/>
          <w:b/>
          <w:szCs w:val="24"/>
        </w:rPr>
      </w:pPr>
      <w:r>
        <w:rPr>
          <w:rFonts w:hint="eastAsia" w:ascii="宋体" w:hAnsi="宋体"/>
          <w:b/>
          <w:szCs w:val="24"/>
        </w:rPr>
        <w:t>14.7磋商保证金必须在开标截止日期前到帐并换取保证金收据。到期未交、逾期到账或磋商保证金转出账户信息与供应商信息不符，视为放弃此次磋商。磋商保证金应由供应商基本账户转出，供应商在换取磋商保证金收据时，应携带加盖公章的“基本户开户许可证”，若磋商保证金未从供应商基本账户转出而导致供应商未在竞争性磋商文件规定截止日期前换取磋商保证金收据的，由此产生的一切后果由供应商自行承担。</w:t>
      </w:r>
    </w:p>
    <w:p>
      <w:pPr>
        <w:spacing w:line="360" w:lineRule="auto"/>
        <w:ind w:firstLine="480" w:firstLineChars="200"/>
        <w:rPr>
          <w:rFonts w:ascii="宋体" w:hAnsi="宋体"/>
          <w:szCs w:val="24"/>
        </w:rPr>
      </w:pPr>
      <w:r>
        <w:rPr>
          <w:rFonts w:hint="eastAsia" w:ascii="宋体" w:hAnsi="宋体"/>
          <w:szCs w:val="24"/>
        </w:rPr>
        <w:t>14.8凡没有随附保证金的磋商，视为非响应性磋商，其标书将被拒绝。</w:t>
      </w:r>
    </w:p>
    <w:p>
      <w:pPr>
        <w:spacing w:line="360" w:lineRule="auto"/>
        <w:ind w:firstLine="480" w:firstLineChars="200"/>
        <w:rPr>
          <w:rFonts w:ascii="宋体" w:hAnsi="宋体"/>
          <w:szCs w:val="24"/>
        </w:rPr>
      </w:pPr>
      <w:r>
        <w:rPr>
          <w:rFonts w:hint="eastAsia" w:ascii="宋体" w:hAnsi="宋体"/>
          <w:szCs w:val="24"/>
        </w:rPr>
        <w:t>14.9未成交人的磋商保证金，在成交通知书发出后五个工作日内退还；成交人的磋商保证金在与采购人签订了正式合同并提交了招标代理服务费后五个工作日内退还。</w:t>
      </w:r>
    </w:p>
    <w:p>
      <w:pPr>
        <w:spacing w:line="360" w:lineRule="auto"/>
        <w:ind w:firstLine="480" w:firstLineChars="200"/>
        <w:rPr>
          <w:rFonts w:ascii="宋体" w:hAnsi="宋体"/>
          <w:szCs w:val="24"/>
        </w:rPr>
      </w:pPr>
      <w:r>
        <w:rPr>
          <w:rFonts w:hint="eastAsia" w:ascii="宋体" w:hAnsi="宋体"/>
          <w:szCs w:val="24"/>
        </w:rPr>
        <w:t>14.10发生下列情况之一，保证金将不予退还：</w:t>
      </w:r>
    </w:p>
    <w:p>
      <w:pPr>
        <w:spacing w:line="360" w:lineRule="auto"/>
        <w:ind w:firstLine="480" w:firstLineChars="200"/>
        <w:rPr>
          <w:rFonts w:ascii="宋体" w:hAnsi="宋体"/>
          <w:szCs w:val="24"/>
        </w:rPr>
      </w:pPr>
      <w:r>
        <w:rPr>
          <w:rFonts w:hint="eastAsia" w:ascii="宋体" w:hAnsi="宋体"/>
          <w:szCs w:val="24"/>
        </w:rPr>
        <w:t>14.10.1磋商后在磋商有效期间内，供应商撤回其响应文件；</w:t>
      </w:r>
    </w:p>
    <w:p>
      <w:pPr>
        <w:spacing w:line="360" w:lineRule="auto"/>
        <w:ind w:firstLine="480" w:firstLineChars="200"/>
        <w:rPr>
          <w:rFonts w:ascii="宋体" w:hAnsi="宋体"/>
          <w:szCs w:val="24"/>
        </w:rPr>
      </w:pPr>
      <w:r>
        <w:rPr>
          <w:rFonts w:hint="eastAsia" w:ascii="宋体" w:hAnsi="宋体"/>
          <w:szCs w:val="24"/>
        </w:rPr>
        <w:t>14.10.2将中标项目转让给他人，或者在响应文件中未说明且未经采购人同意将中标项目分包他人的；</w:t>
      </w:r>
    </w:p>
    <w:p>
      <w:pPr>
        <w:spacing w:line="360" w:lineRule="auto"/>
        <w:ind w:firstLine="480" w:firstLineChars="200"/>
        <w:rPr>
          <w:rFonts w:ascii="宋体" w:hAnsi="宋体"/>
          <w:szCs w:val="24"/>
        </w:rPr>
      </w:pPr>
      <w:r>
        <w:rPr>
          <w:rFonts w:hint="eastAsia" w:ascii="宋体" w:hAnsi="宋体"/>
          <w:szCs w:val="24"/>
        </w:rPr>
        <w:t>14.10.3成交人不按本须知规定签订合同；</w:t>
      </w:r>
    </w:p>
    <w:p>
      <w:pPr>
        <w:spacing w:line="360" w:lineRule="auto"/>
        <w:ind w:firstLine="480" w:firstLineChars="200"/>
        <w:rPr>
          <w:rFonts w:ascii="宋体" w:hAnsi="宋体"/>
          <w:szCs w:val="24"/>
        </w:rPr>
      </w:pPr>
      <w:r>
        <w:rPr>
          <w:rFonts w:hint="eastAsia" w:ascii="宋体" w:hAnsi="宋体"/>
          <w:szCs w:val="24"/>
        </w:rPr>
        <w:t>14.10.4成交人不按本须知规定交付招标代理服务费。</w:t>
      </w:r>
    </w:p>
    <w:p>
      <w:pPr>
        <w:spacing w:line="360" w:lineRule="auto"/>
        <w:jc w:val="center"/>
        <w:rPr>
          <w:rFonts w:ascii="宋体" w:hAnsi="宋体"/>
          <w:b/>
          <w:szCs w:val="24"/>
        </w:rPr>
      </w:pPr>
      <w:r>
        <w:rPr>
          <w:rFonts w:hint="eastAsia" w:ascii="宋体" w:hAnsi="宋体"/>
          <w:b/>
          <w:szCs w:val="24"/>
        </w:rPr>
        <w:t>（四） 响应文件的提交</w:t>
      </w:r>
    </w:p>
    <w:p>
      <w:pPr>
        <w:spacing w:line="360" w:lineRule="auto"/>
        <w:rPr>
          <w:rFonts w:ascii="宋体" w:hAnsi="宋体"/>
          <w:szCs w:val="24"/>
        </w:rPr>
      </w:pPr>
      <w:bookmarkStart w:id="15" w:name="_Toc394934430"/>
      <w:bookmarkStart w:id="16" w:name="_Toc246928917"/>
      <w:r>
        <w:rPr>
          <w:rFonts w:hint="eastAsia" w:ascii="宋体" w:hAnsi="宋体"/>
          <w:szCs w:val="24"/>
        </w:rPr>
        <w:t>15.响应文件的密封和标记</w:t>
      </w:r>
      <w:bookmarkEnd w:id="15"/>
      <w:bookmarkEnd w:id="16"/>
    </w:p>
    <w:p>
      <w:pPr>
        <w:spacing w:line="360" w:lineRule="auto"/>
        <w:ind w:firstLine="480" w:firstLineChars="200"/>
        <w:rPr>
          <w:rFonts w:ascii="宋体" w:hAnsi="宋体"/>
          <w:szCs w:val="24"/>
        </w:rPr>
      </w:pPr>
      <w:r>
        <w:rPr>
          <w:rFonts w:hint="eastAsia" w:ascii="宋体" w:hAnsi="宋体"/>
          <w:szCs w:val="24"/>
        </w:rPr>
        <w:t xml:space="preserve">15.1投标单位应将投标文件的正本、副本，用单独的封袋分装密封（封袋不得有破损），在封袋上标明“正本”、“副本”字样，封袋正面要粘贴标识并加盖投标单位公章。投标文件正本中的法人授权书须为原件，其它资质证明文件为复印件加盖投标单位鲜章；投标文件副本中的资质证明文件为复印件加盖投标单位鲜章； </w:t>
      </w:r>
    </w:p>
    <w:p>
      <w:pPr>
        <w:spacing w:line="360" w:lineRule="auto"/>
        <w:ind w:firstLine="480" w:firstLineChars="200"/>
        <w:rPr>
          <w:rFonts w:ascii="宋体" w:hAnsi="宋体"/>
          <w:szCs w:val="24"/>
        </w:rPr>
      </w:pPr>
      <w:r>
        <w:rPr>
          <w:rFonts w:hint="eastAsia" w:ascii="宋体" w:hAnsi="宋体"/>
          <w:szCs w:val="24"/>
        </w:rPr>
        <w:t>15.2封袋正面标识式样（后附）。</w:t>
      </w:r>
    </w:p>
    <w:p>
      <w:pPr>
        <w:spacing w:line="360" w:lineRule="auto"/>
        <w:ind w:firstLine="480" w:firstLineChars="200"/>
        <w:rPr>
          <w:rFonts w:ascii="宋体" w:hAnsi="宋体"/>
          <w:szCs w:val="24"/>
        </w:rPr>
      </w:pPr>
      <w:r>
        <w:rPr>
          <w:rFonts w:hint="eastAsia" w:ascii="宋体" w:hAnsi="宋体"/>
          <w:szCs w:val="24"/>
        </w:rPr>
        <w:t>15.3如果投标单位未按上述要求密封及加写标记的投标文件、误投或过早启封的投标文件，采购代理机构将拒绝接收，并退回投标单位。采购代理机构对投标文件的误投和提前启封概不负责。</w:t>
      </w:r>
    </w:p>
    <w:p>
      <w:pPr>
        <w:spacing w:line="360" w:lineRule="auto"/>
        <w:rPr>
          <w:rFonts w:ascii="宋体" w:hAnsi="宋体"/>
          <w:szCs w:val="24"/>
        </w:rPr>
      </w:pPr>
      <w:r>
        <w:rPr>
          <w:rFonts w:hint="eastAsia" w:ascii="宋体" w:hAnsi="宋体"/>
          <w:szCs w:val="24"/>
        </w:rPr>
        <w:t>16、响应文件的提交</w:t>
      </w:r>
    </w:p>
    <w:p>
      <w:pPr>
        <w:spacing w:line="360" w:lineRule="auto"/>
        <w:ind w:firstLine="480" w:firstLineChars="200"/>
        <w:rPr>
          <w:rFonts w:ascii="宋体" w:hAnsi="宋体"/>
          <w:szCs w:val="24"/>
        </w:rPr>
      </w:pPr>
      <w:r>
        <w:rPr>
          <w:rFonts w:hint="eastAsia" w:ascii="宋体" w:hAnsi="宋体"/>
          <w:szCs w:val="24"/>
        </w:rPr>
        <w:t>16.1供应商应在磋商截止时间前将密封的响应文件，递交至磋商地点。</w:t>
      </w:r>
    </w:p>
    <w:p>
      <w:pPr>
        <w:spacing w:line="360" w:lineRule="auto"/>
        <w:ind w:firstLine="480" w:firstLineChars="200"/>
        <w:rPr>
          <w:rFonts w:ascii="宋体" w:hAnsi="宋体"/>
          <w:szCs w:val="24"/>
        </w:rPr>
      </w:pPr>
      <w:r>
        <w:rPr>
          <w:rFonts w:hint="eastAsia" w:ascii="宋体" w:hAnsi="宋体"/>
          <w:szCs w:val="24"/>
        </w:rPr>
        <w:t>16.2逾期送达的或者未送达指定地点的响应文件，为无效标，采购代理机构将不予受理。</w:t>
      </w:r>
    </w:p>
    <w:p>
      <w:pPr>
        <w:spacing w:line="360" w:lineRule="auto"/>
        <w:jc w:val="center"/>
        <w:rPr>
          <w:rFonts w:ascii="宋体" w:hAnsi="宋体"/>
          <w:b/>
          <w:szCs w:val="24"/>
        </w:rPr>
      </w:pPr>
      <w:r>
        <w:rPr>
          <w:rFonts w:hint="eastAsia" w:ascii="宋体" w:hAnsi="宋体"/>
          <w:b/>
          <w:szCs w:val="24"/>
        </w:rPr>
        <w:t>（五）开 标</w:t>
      </w:r>
    </w:p>
    <w:p>
      <w:pPr>
        <w:spacing w:line="360" w:lineRule="auto"/>
        <w:rPr>
          <w:rFonts w:ascii="宋体" w:hAnsi="宋体"/>
          <w:szCs w:val="24"/>
        </w:rPr>
      </w:pPr>
      <w:bookmarkStart w:id="17" w:name="_Toc394934434"/>
      <w:r>
        <w:rPr>
          <w:rFonts w:hint="eastAsia" w:ascii="宋体" w:hAnsi="宋体"/>
          <w:szCs w:val="24"/>
        </w:rPr>
        <w:t>17、</w:t>
      </w:r>
      <w:bookmarkEnd w:id="17"/>
      <w:r>
        <w:rPr>
          <w:rFonts w:hint="eastAsia" w:ascii="宋体" w:hAnsi="宋体"/>
          <w:szCs w:val="24"/>
        </w:rPr>
        <w:t>磋商</w:t>
      </w:r>
    </w:p>
    <w:p>
      <w:pPr>
        <w:spacing w:line="360" w:lineRule="auto"/>
        <w:ind w:firstLine="480" w:firstLineChars="200"/>
        <w:rPr>
          <w:rFonts w:ascii="宋体" w:hAnsi="宋体"/>
          <w:szCs w:val="24"/>
        </w:rPr>
      </w:pPr>
      <w:r>
        <w:rPr>
          <w:rFonts w:hint="eastAsia" w:ascii="宋体" w:hAnsi="宋体"/>
          <w:szCs w:val="24"/>
        </w:rPr>
        <w:t>17.1 采购代理机构按磋商公告中规定的时间和地点接受供应商递交的磋商响应文件。供应商应派代表签到，并参加磋商。</w:t>
      </w:r>
    </w:p>
    <w:p>
      <w:pPr>
        <w:spacing w:line="360" w:lineRule="auto"/>
        <w:ind w:firstLine="480" w:firstLineChars="200"/>
        <w:rPr>
          <w:rFonts w:ascii="宋体" w:hAnsi="宋体"/>
          <w:szCs w:val="24"/>
        </w:rPr>
      </w:pPr>
      <w:r>
        <w:rPr>
          <w:rFonts w:hint="eastAsia" w:ascii="宋体" w:hAnsi="宋体"/>
          <w:szCs w:val="24"/>
        </w:rPr>
        <w:t>17.2 磋商时，由供应商或者其推选的代表与监标人检查响应文件的密封情况，经确认无误后签字认可。由采购代理机构工作人员当众拆封并宣读供应商名称、响应文件份数。对于供应商在磋商截止时间前递交的磋商声明，在磋商时当众宣读，评审时有效。</w:t>
      </w:r>
    </w:p>
    <w:p>
      <w:pPr>
        <w:spacing w:line="360" w:lineRule="auto"/>
        <w:ind w:firstLine="480" w:firstLineChars="200"/>
        <w:rPr>
          <w:rFonts w:ascii="宋体" w:hAnsi="宋体"/>
          <w:szCs w:val="24"/>
        </w:rPr>
      </w:pPr>
      <w:r>
        <w:rPr>
          <w:rFonts w:hint="eastAsia" w:ascii="宋体" w:hAnsi="宋体"/>
          <w:szCs w:val="24"/>
        </w:rPr>
        <w:t>17.3 采购代理机构将对磋商过程做记录，由供应商授权代表签字确认。</w:t>
      </w:r>
    </w:p>
    <w:p>
      <w:pPr>
        <w:spacing w:line="360" w:lineRule="auto"/>
        <w:rPr>
          <w:rFonts w:ascii="宋体" w:hAnsi="宋体"/>
          <w:szCs w:val="24"/>
        </w:rPr>
      </w:pPr>
      <w:bookmarkStart w:id="18" w:name="_Toc394934435"/>
      <w:bookmarkStart w:id="19" w:name="_Toc246928921"/>
      <w:r>
        <w:rPr>
          <w:rFonts w:hint="eastAsia" w:ascii="宋体" w:hAnsi="宋体"/>
          <w:szCs w:val="24"/>
        </w:rPr>
        <w:t>18、磋商小组</w:t>
      </w:r>
      <w:bookmarkEnd w:id="18"/>
      <w:bookmarkEnd w:id="19"/>
    </w:p>
    <w:p>
      <w:pPr>
        <w:spacing w:line="360" w:lineRule="auto"/>
        <w:ind w:firstLine="480" w:firstLineChars="200"/>
        <w:rPr>
          <w:rFonts w:ascii="宋体" w:hAnsi="宋体"/>
          <w:szCs w:val="24"/>
        </w:rPr>
      </w:pPr>
      <w:r>
        <w:rPr>
          <w:rFonts w:hint="eastAsia" w:ascii="宋体" w:hAnsi="宋体"/>
          <w:szCs w:val="24"/>
        </w:rPr>
        <w:t>18.1 根据本次招标项目的特点，参照《中华人民共和国政府采购法》等有关规定组建磋商小组。</w:t>
      </w:r>
    </w:p>
    <w:p>
      <w:pPr>
        <w:spacing w:line="360" w:lineRule="auto"/>
        <w:ind w:firstLine="480" w:firstLineChars="200"/>
        <w:rPr>
          <w:rFonts w:ascii="宋体" w:hAnsi="宋体"/>
          <w:szCs w:val="24"/>
        </w:rPr>
      </w:pPr>
      <w:r>
        <w:rPr>
          <w:rFonts w:hint="eastAsia" w:ascii="宋体" w:hAnsi="宋体"/>
          <w:szCs w:val="24"/>
        </w:rPr>
        <w:t>18.2本项目磋商小组专家的产生方式符合国家和地方有关评审专家产生方式的规定。</w:t>
      </w:r>
    </w:p>
    <w:p>
      <w:pPr>
        <w:spacing w:line="360" w:lineRule="auto"/>
        <w:ind w:firstLine="480" w:firstLineChars="200"/>
        <w:rPr>
          <w:rFonts w:ascii="宋体" w:hAnsi="宋体"/>
          <w:szCs w:val="24"/>
        </w:rPr>
      </w:pPr>
      <w:r>
        <w:rPr>
          <w:rFonts w:hint="eastAsia" w:ascii="宋体" w:hAnsi="宋体"/>
          <w:szCs w:val="24"/>
        </w:rPr>
        <w:t>18.3 磋商小组成员对各供应商磋商响应文件进行审查、质疑、评估和比较，并推荐成交候选供应商。</w:t>
      </w:r>
    </w:p>
    <w:p>
      <w:pPr>
        <w:spacing w:line="360" w:lineRule="auto"/>
        <w:jc w:val="center"/>
        <w:rPr>
          <w:rFonts w:ascii="宋体" w:hAnsi="宋体"/>
          <w:b/>
          <w:szCs w:val="24"/>
        </w:rPr>
      </w:pPr>
      <w:bookmarkStart w:id="20" w:name="_Toc394934436"/>
      <w:bookmarkStart w:id="21" w:name="_Toc246928924"/>
      <w:r>
        <w:rPr>
          <w:rFonts w:hint="eastAsia" w:ascii="宋体" w:hAnsi="宋体"/>
          <w:b/>
          <w:szCs w:val="24"/>
        </w:rPr>
        <w:t>（六）评 审</w:t>
      </w:r>
    </w:p>
    <w:p>
      <w:pPr>
        <w:spacing w:line="360" w:lineRule="auto"/>
        <w:rPr>
          <w:rFonts w:ascii="宋体" w:hAnsi="宋体"/>
          <w:szCs w:val="24"/>
        </w:rPr>
      </w:pPr>
      <w:r>
        <w:rPr>
          <w:rFonts w:hint="eastAsia" w:ascii="宋体" w:hAnsi="宋体"/>
          <w:szCs w:val="24"/>
        </w:rPr>
        <w:t>19、评审</w:t>
      </w:r>
      <w:bookmarkEnd w:id="20"/>
      <w:bookmarkEnd w:id="21"/>
    </w:p>
    <w:p>
      <w:pPr>
        <w:spacing w:line="360" w:lineRule="auto"/>
        <w:ind w:firstLine="480" w:firstLineChars="200"/>
        <w:rPr>
          <w:rFonts w:ascii="宋体" w:hAnsi="宋体"/>
          <w:szCs w:val="24"/>
        </w:rPr>
      </w:pPr>
      <w:r>
        <w:rPr>
          <w:rFonts w:hint="eastAsia" w:ascii="宋体" w:hAnsi="宋体"/>
          <w:szCs w:val="24"/>
        </w:rPr>
        <w:t>19.1 磋商小组将遵循公开、公平、公正和择优的原则，对所有供应商的磋商响应文件评审，都采用相同的程序和标准。</w:t>
      </w:r>
    </w:p>
    <w:p>
      <w:pPr>
        <w:spacing w:line="360" w:lineRule="auto"/>
        <w:ind w:firstLine="480" w:firstLineChars="200"/>
        <w:rPr>
          <w:rFonts w:ascii="宋体" w:hAnsi="宋体"/>
          <w:szCs w:val="24"/>
        </w:rPr>
      </w:pPr>
      <w:r>
        <w:rPr>
          <w:rFonts w:hint="eastAsia" w:ascii="宋体" w:hAnsi="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spacing w:line="360" w:lineRule="auto"/>
        <w:ind w:firstLine="480" w:firstLineChars="200"/>
        <w:rPr>
          <w:rFonts w:ascii="宋体" w:hAnsi="宋体"/>
          <w:szCs w:val="24"/>
        </w:rPr>
      </w:pPr>
      <w:r>
        <w:rPr>
          <w:rFonts w:hint="eastAsia" w:ascii="宋体" w:hAnsi="宋体"/>
          <w:szCs w:val="24"/>
        </w:rPr>
        <w:t>19.3 供应商或磋商响应文件出现的下列情形将按照无效响应文件处理，由磋商小组否决其磋商：</w:t>
      </w:r>
    </w:p>
    <w:p>
      <w:pPr>
        <w:spacing w:line="360" w:lineRule="auto"/>
        <w:ind w:firstLine="480" w:firstLineChars="200"/>
        <w:rPr>
          <w:rFonts w:ascii="宋体" w:hAnsi="宋体"/>
          <w:szCs w:val="24"/>
        </w:rPr>
      </w:pPr>
      <w:r>
        <w:rPr>
          <w:rFonts w:hint="eastAsia" w:ascii="宋体" w:hAnsi="宋体"/>
          <w:szCs w:val="24"/>
        </w:rPr>
        <w:t>19.3.1 未按磋商文件规定要求密封、签署、盖章；</w:t>
      </w:r>
    </w:p>
    <w:p>
      <w:pPr>
        <w:spacing w:line="360" w:lineRule="auto"/>
        <w:ind w:firstLine="480" w:firstLineChars="200"/>
        <w:rPr>
          <w:rFonts w:ascii="宋体" w:hAnsi="宋体"/>
          <w:szCs w:val="24"/>
        </w:rPr>
      </w:pPr>
      <w:r>
        <w:rPr>
          <w:rFonts w:hint="eastAsia" w:ascii="宋体" w:hAnsi="宋体"/>
          <w:szCs w:val="24"/>
        </w:rPr>
        <w:t>19.3.2不具备磋商文件规定资格条件的或提供的资格证明文件不全的；</w:t>
      </w:r>
    </w:p>
    <w:p>
      <w:pPr>
        <w:spacing w:line="360" w:lineRule="auto"/>
        <w:ind w:firstLine="480" w:firstLineChars="200"/>
        <w:rPr>
          <w:rFonts w:ascii="宋体" w:hAnsi="宋体"/>
          <w:szCs w:val="24"/>
        </w:rPr>
      </w:pPr>
      <w:r>
        <w:rPr>
          <w:rFonts w:hint="eastAsia" w:ascii="宋体" w:hAnsi="宋体"/>
          <w:szCs w:val="24"/>
        </w:rPr>
        <w:t>19.3.3响应文件内容不全或字迹模糊辨认不清导致磋商响应文件不满足磋商文件实质性要求的；</w:t>
      </w:r>
    </w:p>
    <w:p>
      <w:pPr>
        <w:spacing w:line="360" w:lineRule="auto"/>
        <w:ind w:firstLine="480" w:firstLineChars="200"/>
        <w:rPr>
          <w:rFonts w:ascii="宋体" w:hAnsi="宋体"/>
          <w:szCs w:val="24"/>
        </w:rPr>
      </w:pPr>
      <w:r>
        <w:rPr>
          <w:rFonts w:hint="eastAsia" w:ascii="宋体" w:hAnsi="宋体"/>
          <w:szCs w:val="24"/>
        </w:rPr>
        <w:t>19.3.4 报价超过采购预算的；</w:t>
      </w:r>
    </w:p>
    <w:p>
      <w:pPr>
        <w:spacing w:line="360" w:lineRule="auto"/>
        <w:ind w:firstLine="482" w:firstLineChars="200"/>
        <w:rPr>
          <w:rFonts w:ascii="宋体" w:hAnsi="宋体"/>
          <w:b/>
          <w:bCs/>
          <w:szCs w:val="24"/>
        </w:rPr>
      </w:pPr>
      <w:r>
        <w:rPr>
          <w:rFonts w:hint="eastAsia" w:ascii="宋体" w:hAnsi="宋体"/>
          <w:b/>
          <w:bCs/>
          <w:szCs w:val="24"/>
        </w:rPr>
        <w:t>19.3.5付款方式不满足竞争性磋商文件要求的；</w:t>
      </w:r>
    </w:p>
    <w:p>
      <w:pPr>
        <w:spacing w:line="360" w:lineRule="auto"/>
        <w:ind w:firstLine="480" w:firstLineChars="200"/>
        <w:rPr>
          <w:rFonts w:ascii="宋体" w:hAnsi="宋体"/>
          <w:szCs w:val="24"/>
        </w:rPr>
      </w:pPr>
      <w:r>
        <w:rPr>
          <w:rFonts w:hint="eastAsia" w:ascii="宋体" w:hAnsi="宋体"/>
          <w:szCs w:val="24"/>
        </w:rPr>
        <w:t>19.3.6 属于磋商文件中所列无效响应情形的；</w:t>
      </w:r>
    </w:p>
    <w:p>
      <w:pPr>
        <w:spacing w:line="360" w:lineRule="auto"/>
        <w:ind w:firstLine="480" w:firstLineChars="200"/>
        <w:rPr>
          <w:rFonts w:ascii="宋体" w:hAnsi="宋体"/>
          <w:szCs w:val="24"/>
        </w:rPr>
      </w:pPr>
      <w:r>
        <w:rPr>
          <w:rFonts w:hint="eastAsia" w:ascii="宋体" w:hAnsi="宋体"/>
          <w:szCs w:val="24"/>
        </w:rPr>
        <w:t>19.3.7 与磋商文件要求条款有重大偏离的；</w:t>
      </w:r>
    </w:p>
    <w:p>
      <w:pPr>
        <w:spacing w:line="360" w:lineRule="auto"/>
        <w:ind w:firstLine="480" w:firstLineChars="200"/>
        <w:rPr>
          <w:rFonts w:ascii="宋体" w:hAnsi="宋体"/>
          <w:szCs w:val="24"/>
        </w:rPr>
      </w:pPr>
      <w:r>
        <w:rPr>
          <w:rFonts w:hint="eastAsia" w:ascii="宋体" w:hAnsi="宋体"/>
          <w:szCs w:val="24"/>
        </w:rPr>
        <w:t>19.3.8 不符合法律、法规和磋商文件中规定的其他实质性要求的。</w:t>
      </w:r>
    </w:p>
    <w:p>
      <w:pPr>
        <w:spacing w:line="360" w:lineRule="auto"/>
        <w:rPr>
          <w:rFonts w:ascii="宋体" w:hAnsi="宋体"/>
          <w:szCs w:val="24"/>
        </w:rPr>
      </w:pPr>
      <w:bookmarkStart w:id="22" w:name="_Toc394934437"/>
      <w:r>
        <w:rPr>
          <w:rFonts w:hint="eastAsia" w:ascii="宋体" w:hAnsi="宋体"/>
          <w:szCs w:val="24"/>
        </w:rPr>
        <w:t>20、评审</w:t>
      </w:r>
      <w:bookmarkEnd w:id="22"/>
      <w:r>
        <w:rPr>
          <w:rFonts w:hint="eastAsia" w:ascii="宋体" w:hAnsi="宋体"/>
          <w:szCs w:val="24"/>
        </w:rPr>
        <w:t>程序及办法</w:t>
      </w:r>
    </w:p>
    <w:p>
      <w:pPr>
        <w:spacing w:line="360" w:lineRule="auto"/>
        <w:ind w:firstLine="480" w:firstLineChars="200"/>
        <w:rPr>
          <w:rFonts w:ascii="宋体" w:hAnsi="宋体"/>
          <w:szCs w:val="24"/>
        </w:rPr>
      </w:pPr>
      <w:r>
        <w:rPr>
          <w:rFonts w:hint="eastAsia" w:ascii="宋体" w:hAnsi="宋体"/>
          <w:szCs w:val="24"/>
        </w:rPr>
        <w:t>20.1磋商小组对于各个供应商的响应文件先进行资格审查，再进行符合性审查，审查全都合格的供应商才有参加磋商与承诺的资格。</w:t>
      </w:r>
    </w:p>
    <w:p>
      <w:pPr>
        <w:spacing w:line="360" w:lineRule="auto"/>
        <w:ind w:firstLine="480" w:firstLineChars="200"/>
        <w:rPr>
          <w:rFonts w:ascii="宋体" w:hAnsi="宋体"/>
          <w:szCs w:val="24"/>
        </w:rPr>
      </w:pPr>
      <w:r>
        <w:rPr>
          <w:rFonts w:hint="eastAsia" w:ascii="宋体" w:hAnsi="宋体"/>
          <w:szCs w:val="24"/>
        </w:rPr>
        <w:t>20.1.1资格审查内容为：</w:t>
      </w:r>
    </w:p>
    <w:p>
      <w:pPr>
        <w:spacing w:line="360" w:lineRule="auto"/>
        <w:ind w:firstLine="480" w:firstLineChars="200"/>
        <w:rPr>
          <w:rFonts w:ascii="宋体" w:hAnsi="宋体"/>
          <w:szCs w:val="24"/>
        </w:rPr>
      </w:pPr>
      <w:r>
        <w:rPr>
          <w:rFonts w:hint="eastAsia" w:ascii="宋体" w:hAnsi="宋体"/>
          <w:szCs w:val="24"/>
        </w:rPr>
        <w:t>20.1.1.1符合《中华人民共和国政府采购法》第二十二条（本条需提供的有：2017年财务审计报告或近三个月银行资信证明、社会保障资金证明材料及近三个月完税证明材料）；</w:t>
      </w:r>
    </w:p>
    <w:p>
      <w:pPr>
        <w:spacing w:line="360" w:lineRule="auto"/>
        <w:ind w:firstLine="480" w:firstLineChars="200"/>
        <w:rPr>
          <w:rFonts w:ascii="宋体" w:hAnsi="宋体"/>
          <w:szCs w:val="24"/>
        </w:rPr>
      </w:pPr>
      <w:r>
        <w:rPr>
          <w:rFonts w:hint="eastAsia" w:ascii="宋体" w:hAnsi="宋体"/>
          <w:szCs w:val="24"/>
        </w:rPr>
        <w:t>20.1.1.2、合法注册的法人应提供营业执照（或事业法人证）、组织机构代码证、税务登记证（提供年检证明文件）或统一社会信用代码的营业执照（提供2017年或2018年企业信息公示年度报告）或其他组织应提供合法证明文件或自然人提供身份证件；</w:t>
      </w:r>
    </w:p>
    <w:p>
      <w:pPr>
        <w:spacing w:line="360" w:lineRule="auto"/>
        <w:ind w:firstLine="480" w:firstLineChars="200"/>
        <w:rPr>
          <w:rFonts w:ascii="宋体" w:hAnsi="宋体"/>
          <w:szCs w:val="24"/>
        </w:rPr>
      </w:pPr>
      <w:r>
        <w:rPr>
          <w:rFonts w:hint="eastAsia" w:ascii="宋体" w:hAnsi="宋体"/>
          <w:szCs w:val="24"/>
        </w:rPr>
        <w:t>20.1.1.3、供应商应具有独立承担民事责任的能力且具备向采购人提供相关服务的企业法人、事业法人或其他组织，供应商应授权合法的人员参加投标全过程，其中法定代表人直接参加投标的，须出具法定代表人身份证，并与营业执照上信息一致；法定代表人授权代表参加投标的，须出具法定代表人授权书及授权代表身份证以及本单位证明（劳动合同或社保证明）；</w:t>
      </w:r>
    </w:p>
    <w:p>
      <w:pPr>
        <w:spacing w:line="360" w:lineRule="auto"/>
        <w:ind w:firstLine="480" w:firstLineChars="200"/>
        <w:rPr>
          <w:rFonts w:ascii="宋体" w:hAnsi="宋体"/>
          <w:szCs w:val="24"/>
        </w:rPr>
      </w:pPr>
      <w:r>
        <w:rPr>
          <w:rFonts w:hint="eastAsia" w:ascii="宋体" w:hAnsi="宋体"/>
          <w:szCs w:val="24"/>
        </w:rPr>
        <w:t>20.1.1.4、提供采购代理机构出具的投标保证金收据或担保机构出具的保函；</w:t>
      </w:r>
    </w:p>
    <w:p>
      <w:pPr>
        <w:spacing w:line="500" w:lineRule="exact"/>
        <w:ind w:firstLine="480" w:firstLineChars="200"/>
        <w:rPr>
          <w:color w:val="000000"/>
          <w:szCs w:val="22"/>
        </w:rPr>
      </w:pPr>
      <w:r>
        <w:rPr>
          <w:rFonts w:hint="eastAsia" w:ascii="宋体" w:hAnsi="宋体"/>
          <w:szCs w:val="24"/>
        </w:rPr>
        <w:t>20.1.1.5</w:t>
      </w:r>
      <w:r>
        <w:rPr>
          <w:rFonts w:hint="eastAsia"/>
          <w:color w:val="000000"/>
          <w:szCs w:val="22"/>
        </w:rPr>
        <w:t>、供应商为生产厂家的须提供医疗器械生产许可证和所投产品的医疗器械产品注册证；供应商为代理经销商的须提供医疗器械经营许可证和所投产品的医疗器械产品注册证（换证期间须提供相关管理机构的证明文件）；若为进口产品需提供“进”字号注册证及产品授权书。</w:t>
      </w:r>
    </w:p>
    <w:p>
      <w:pPr>
        <w:pStyle w:val="2"/>
      </w:pPr>
    </w:p>
    <w:p>
      <w:pPr>
        <w:spacing w:line="360" w:lineRule="auto"/>
        <w:ind w:firstLine="480" w:firstLineChars="200"/>
        <w:rPr>
          <w:rFonts w:ascii="宋体" w:hAnsi="宋体"/>
          <w:szCs w:val="24"/>
        </w:rPr>
      </w:pPr>
      <w:r>
        <w:rPr>
          <w:rFonts w:hint="eastAsia" w:ascii="宋体" w:hAnsi="宋体"/>
          <w:szCs w:val="24"/>
        </w:rPr>
        <w:t>20.1.1.6、供应商不得为“中华人民共和国最高人民法院”网站（www.court.gov.cn）被列入失信被执行人名单的供应商，“信用中国”网站（www.creditchina.gov.cn）中被列入重大税收违法案件当事人名单的供应商，中国政府采购网（www.ccgp.gov.cn）政府采购严重违法失信行为记录名单中被财政部门禁止参加政府采购活动的供应商（提供以上查询结果网页截图），并提供参加政府采购活动前3年内在经营活动中没有重大违法记录的书面声明。</w:t>
      </w:r>
    </w:p>
    <w:p>
      <w:pPr>
        <w:spacing w:line="360" w:lineRule="auto"/>
        <w:ind w:firstLine="480" w:firstLineChars="200"/>
        <w:rPr>
          <w:rFonts w:ascii="宋体" w:hAnsi="宋体"/>
          <w:szCs w:val="24"/>
        </w:rPr>
      </w:pPr>
      <w:r>
        <w:rPr>
          <w:rFonts w:hint="eastAsia" w:ascii="宋体" w:hAnsi="宋体"/>
          <w:szCs w:val="24"/>
        </w:rPr>
        <w:t>20.1.2符合性审查内容为：</w:t>
      </w:r>
    </w:p>
    <w:p>
      <w:pPr>
        <w:spacing w:line="360" w:lineRule="auto"/>
        <w:ind w:firstLine="480" w:firstLineChars="200"/>
        <w:rPr>
          <w:rFonts w:ascii="宋体" w:hAnsi="宋体"/>
          <w:szCs w:val="24"/>
        </w:rPr>
      </w:pPr>
      <w:r>
        <w:rPr>
          <w:rFonts w:hint="eastAsia" w:ascii="宋体" w:hAnsi="宋体"/>
          <w:szCs w:val="24"/>
        </w:rPr>
        <w:t>20.1.2.1响应文件的数量是否合格；</w:t>
      </w:r>
    </w:p>
    <w:p>
      <w:pPr>
        <w:spacing w:line="360" w:lineRule="auto"/>
        <w:ind w:firstLine="480" w:firstLineChars="200"/>
        <w:rPr>
          <w:rFonts w:ascii="宋体" w:hAnsi="宋体"/>
          <w:szCs w:val="24"/>
        </w:rPr>
      </w:pPr>
      <w:r>
        <w:rPr>
          <w:rFonts w:hint="eastAsia" w:ascii="宋体" w:hAnsi="宋体"/>
          <w:szCs w:val="24"/>
        </w:rPr>
        <w:t>20.1.2.2报价超过采购预算的；</w:t>
      </w:r>
    </w:p>
    <w:p>
      <w:pPr>
        <w:spacing w:line="360" w:lineRule="auto"/>
        <w:ind w:firstLine="480" w:firstLineChars="200"/>
        <w:rPr>
          <w:rFonts w:ascii="宋体" w:hAnsi="宋体"/>
          <w:szCs w:val="24"/>
        </w:rPr>
      </w:pPr>
      <w:r>
        <w:rPr>
          <w:rFonts w:hint="eastAsia" w:ascii="宋体" w:hAnsi="宋体"/>
          <w:szCs w:val="24"/>
        </w:rPr>
        <w:t>20.1.2.3响应文件有效期是否合格；</w:t>
      </w:r>
    </w:p>
    <w:p>
      <w:pPr>
        <w:spacing w:line="360" w:lineRule="auto"/>
        <w:ind w:firstLine="480" w:firstLineChars="200"/>
        <w:rPr>
          <w:rFonts w:ascii="宋体" w:hAnsi="宋体"/>
          <w:szCs w:val="24"/>
        </w:rPr>
      </w:pPr>
      <w:r>
        <w:rPr>
          <w:rFonts w:hint="eastAsia" w:ascii="宋体" w:hAnsi="宋体"/>
          <w:szCs w:val="24"/>
        </w:rPr>
        <w:t>20.1.2.4响应文件的签字盖章是否合格；</w:t>
      </w:r>
    </w:p>
    <w:p>
      <w:pPr>
        <w:spacing w:line="360" w:lineRule="auto"/>
        <w:ind w:firstLine="480" w:firstLineChars="200"/>
        <w:rPr>
          <w:rFonts w:ascii="宋体" w:hAnsi="宋体"/>
          <w:szCs w:val="24"/>
        </w:rPr>
      </w:pPr>
      <w:r>
        <w:rPr>
          <w:rFonts w:hint="eastAsia" w:ascii="宋体" w:hAnsi="宋体"/>
          <w:szCs w:val="24"/>
        </w:rPr>
        <w:t>20.1.2.5响应文件内容是否齐全，字迹是否清晰可辨，格式是否符合磋商文件规定的格式要求；</w:t>
      </w:r>
    </w:p>
    <w:p>
      <w:pPr>
        <w:spacing w:line="360" w:lineRule="auto"/>
        <w:ind w:firstLine="480" w:firstLineChars="200"/>
        <w:rPr>
          <w:rFonts w:ascii="宋体" w:hAnsi="宋体"/>
          <w:szCs w:val="24"/>
        </w:rPr>
      </w:pPr>
      <w:r>
        <w:rPr>
          <w:rFonts w:hint="eastAsia" w:ascii="宋体" w:hAnsi="宋体"/>
          <w:szCs w:val="24"/>
        </w:rPr>
        <w:t>20.1.2.6磋商文件规定的其他要求。</w:t>
      </w:r>
    </w:p>
    <w:p>
      <w:pPr>
        <w:spacing w:line="360" w:lineRule="auto"/>
        <w:ind w:firstLine="480" w:firstLineChars="200"/>
        <w:rPr>
          <w:rFonts w:ascii="宋体" w:hAnsi="宋体"/>
          <w:szCs w:val="24"/>
        </w:rPr>
      </w:pPr>
      <w:r>
        <w:rPr>
          <w:rFonts w:hint="eastAsia" w:ascii="宋体" w:hAnsi="宋体"/>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spacing w:line="360" w:lineRule="auto"/>
        <w:ind w:firstLine="480" w:firstLineChars="200"/>
        <w:rPr>
          <w:rFonts w:ascii="宋体" w:hAnsi="宋体"/>
          <w:szCs w:val="24"/>
        </w:rPr>
      </w:pPr>
      <w:r>
        <w:rPr>
          <w:rFonts w:hint="eastAsia" w:ascii="宋体" w:hAnsi="宋体"/>
          <w:szCs w:val="24"/>
        </w:rPr>
        <w:t>20.2.1 澄清文件将作为响应文件的一部分。</w:t>
      </w:r>
    </w:p>
    <w:p>
      <w:pPr>
        <w:spacing w:line="360" w:lineRule="auto"/>
        <w:ind w:firstLine="480" w:firstLineChars="200"/>
        <w:rPr>
          <w:rFonts w:ascii="宋体" w:hAnsi="宋体"/>
          <w:szCs w:val="24"/>
        </w:rPr>
      </w:pPr>
      <w:r>
        <w:rPr>
          <w:rFonts w:hint="eastAsia" w:ascii="宋体" w:hAnsi="宋体"/>
          <w:szCs w:val="24"/>
        </w:rPr>
        <w:t>20.2.2 算术错误将按以下方法更正：</w:t>
      </w:r>
    </w:p>
    <w:p>
      <w:pPr>
        <w:spacing w:line="360" w:lineRule="auto"/>
        <w:ind w:firstLine="480" w:firstLineChars="200"/>
        <w:rPr>
          <w:rFonts w:ascii="宋体" w:hAnsi="宋体"/>
          <w:szCs w:val="24"/>
        </w:rPr>
      </w:pPr>
      <w:r>
        <w:rPr>
          <w:rFonts w:hint="eastAsia" w:ascii="宋体" w:hAnsi="宋体"/>
          <w:szCs w:val="24"/>
        </w:rPr>
        <w:t>20.2.2.1响应文件的大写金额和小写金额不一致的，以大写金额为准；</w:t>
      </w:r>
    </w:p>
    <w:p>
      <w:pPr>
        <w:spacing w:line="360" w:lineRule="auto"/>
        <w:ind w:firstLine="480" w:firstLineChars="200"/>
        <w:rPr>
          <w:rFonts w:ascii="宋体" w:hAnsi="宋体"/>
          <w:szCs w:val="24"/>
        </w:rPr>
      </w:pPr>
      <w:r>
        <w:rPr>
          <w:rFonts w:hint="eastAsia" w:ascii="宋体" w:hAnsi="宋体"/>
          <w:szCs w:val="24"/>
        </w:rPr>
        <w:t>20.2.2.2 总价金额与按单价汇总金额不一致的，以单价金额计算结果为准；</w:t>
      </w:r>
    </w:p>
    <w:p>
      <w:pPr>
        <w:spacing w:line="360" w:lineRule="auto"/>
        <w:ind w:firstLine="480" w:firstLineChars="200"/>
        <w:rPr>
          <w:rFonts w:ascii="宋体" w:hAnsi="宋体"/>
          <w:szCs w:val="24"/>
        </w:rPr>
      </w:pPr>
      <w:r>
        <w:rPr>
          <w:rFonts w:hint="eastAsia" w:ascii="宋体" w:hAnsi="宋体"/>
          <w:szCs w:val="24"/>
        </w:rPr>
        <w:t>20.2.2.3 单价金额小数点有明显错位的，应当以总价为准，并修改单价；</w:t>
      </w:r>
    </w:p>
    <w:p>
      <w:pPr>
        <w:spacing w:line="360" w:lineRule="auto"/>
        <w:ind w:firstLine="480" w:firstLineChars="200"/>
        <w:rPr>
          <w:rFonts w:ascii="宋体" w:hAnsi="宋体"/>
          <w:szCs w:val="24"/>
        </w:rPr>
      </w:pPr>
      <w:r>
        <w:rPr>
          <w:rFonts w:hint="eastAsia" w:ascii="宋体" w:hAnsi="宋体"/>
          <w:szCs w:val="24"/>
        </w:rPr>
        <w:t>20.2.2.4 对不同文字文本磋商响应文件的解释发生异议的，以中文文本为准；</w:t>
      </w:r>
    </w:p>
    <w:p>
      <w:pPr>
        <w:spacing w:line="360" w:lineRule="auto"/>
        <w:ind w:firstLine="480" w:firstLineChars="200"/>
        <w:rPr>
          <w:rFonts w:ascii="宋体" w:hAnsi="宋体"/>
          <w:szCs w:val="24"/>
        </w:rPr>
      </w:pPr>
      <w:r>
        <w:rPr>
          <w:rFonts w:hint="eastAsia" w:ascii="宋体" w:hAnsi="宋体"/>
          <w:szCs w:val="24"/>
        </w:rPr>
        <w:t>20.2.2.5 对于供应商不接受对其错误的更改，其磋商属于无效磋商情形。</w:t>
      </w:r>
    </w:p>
    <w:p>
      <w:pPr>
        <w:spacing w:line="360" w:lineRule="auto"/>
        <w:rPr>
          <w:rFonts w:ascii="宋体" w:hAnsi="宋体"/>
          <w:szCs w:val="24"/>
        </w:rPr>
      </w:pPr>
      <w:bookmarkStart w:id="23" w:name="_Toc394934438"/>
      <w:r>
        <w:rPr>
          <w:rFonts w:hint="eastAsia" w:ascii="宋体" w:hAnsi="宋体"/>
          <w:szCs w:val="24"/>
        </w:rPr>
        <w:t>21、</w:t>
      </w:r>
      <w:bookmarkEnd w:id="23"/>
      <w:r>
        <w:rPr>
          <w:rFonts w:hint="eastAsia" w:ascii="宋体" w:hAnsi="宋体"/>
          <w:szCs w:val="24"/>
        </w:rPr>
        <w:t>磋商</w:t>
      </w:r>
    </w:p>
    <w:p>
      <w:pPr>
        <w:spacing w:line="360" w:lineRule="auto"/>
        <w:ind w:firstLine="480" w:firstLineChars="200"/>
        <w:rPr>
          <w:rFonts w:ascii="宋体" w:hAnsi="宋体"/>
          <w:szCs w:val="24"/>
        </w:rPr>
      </w:pPr>
      <w:r>
        <w:rPr>
          <w:rFonts w:hint="eastAsia" w:ascii="宋体" w:hAnsi="宋体"/>
          <w:szCs w:val="24"/>
        </w:rPr>
        <w:t>21.1磋商小组根据各磋商供应商响应文件响应情况决定是否与各供应商进行磋商，磋商方式为磋商小组所有成员集中与单一供应商分别进行磋商，并给与参加磋商的供应商平等的磋商机会。</w:t>
      </w:r>
    </w:p>
    <w:p>
      <w:pPr>
        <w:spacing w:line="360" w:lineRule="auto"/>
        <w:ind w:firstLine="480" w:firstLineChars="200"/>
        <w:rPr>
          <w:rFonts w:ascii="宋体" w:hAnsi="宋体"/>
          <w:szCs w:val="24"/>
        </w:rPr>
      </w:pPr>
      <w:r>
        <w:rPr>
          <w:rFonts w:hint="eastAsia" w:ascii="宋体" w:hAnsi="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spacing w:line="360" w:lineRule="auto"/>
        <w:ind w:firstLine="480" w:firstLineChars="200"/>
        <w:rPr>
          <w:rFonts w:ascii="宋体" w:hAnsi="宋体"/>
          <w:szCs w:val="24"/>
        </w:rPr>
      </w:pPr>
      <w:r>
        <w:rPr>
          <w:rFonts w:hint="eastAsia" w:ascii="宋体" w:hAnsi="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spacing w:line="360" w:lineRule="auto"/>
        <w:rPr>
          <w:rFonts w:ascii="宋体" w:hAnsi="宋体"/>
          <w:szCs w:val="24"/>
        </w:rPr>
      </w:pPr>
      <w:bookmarkStart w:id="24" w:name="_Toc394934439"/>
      <w:r>
        <w:rPr>
          <w:rFonts w:hint="eastAsia" w:ascii="宋体" w:hAnsi="宋体"/>
          <w:szCs w:val="24"/>
        </w:rPr>
        <w:t>22、评审方法</w:t>
      </w:r>
      <w:bookmarkEnd w:id="24"/>
    </w:p>
    <w:p>
      <w:pPr>
        <w:spacing w:line="360" w:lineRule="auto"/>
        <w:ind w:firstLine="480" w:firstLineChars="200"/>
        <w:jc w:val="left"/>
        <w:rPr>
          <w:rFonts w:ascii="宋体" w:hAnsi="宋体"/>
          <w:szCs w:val="24"/>
        </w:rPr>
      </w:pPr>
      <w:r>
        <w:rPr>
          <w:rFonts w:hint="eastAsia" w:ascii="宋体" w:hAnsi="宋体"/>
          <w:szCs w:val="24"/>
        </w:rPr>
        <w:t>22.1评审方法：磋商小组从质量和服务均能满足磋商文件实质性响应要求的供应商中，按照最后得分由高到低的顺序提出成交候选人。</w:t>
      </w:r>
    </w:p>
    <w:p>
      <w:pPr>
        <w:spacing w:line="360" w:lineRule="auto"/>
        <w:jc w:val="center"/>
        <w:rPr>
          <w:rFonts w:ascii="宋体" w:hAnsi="宋体"/>
          <w:b/>
          <w:snapToGrid w:val="0"/>
          <w:szCs w:val="24"/>
        </w:rPr>
      </w:pPr>
      <w:r>
        <w:rPr>
          <w:rFonts w:hint="eastAsia" w:ascii="宋体" w:hAnsi="宋体"/>
          <w:b/>
          <w:snapToGrid w:val="0"/>
          <w:szCs w:val="24"/>
        </w:rPr>
        <w:t>（七）评分内容和评分方式</w:t>
      </w:r>
    </w:p>
    <w:p>
      <w:pPr>
        <w:spacing w:line="360" w:lineRule="auto"/>
        <w:ind w:firstLine="240" w:firstLineChars="100"/>
        <w:rPr>
          <w:rFonts w:ascii="宋体" w:hAnsi="宋体"/>
          <w:szCs w:val="24"/>
        </w:rPr>
      </w:pPr>
      <w:r>
        <w:rPr>
          <w:rFonts w:hint="eastAsia" w:ascii="宋体" w:hAnsi="宋体"/>
          <w:szCs w:val="24"/>
        </w:rPr>
        <w:t>总分100分，每个供应商每项评分因素得分汇总即为最后得分，各项评分因素具体内容及打分标准如下：</w:t>
      </w:r>
    </w:p>
    <w:p>
      <w:pPr>
        <w:spacing w:line="560" w:lineRule="exact"/>
        <w:ind w:firstLine="482" w:firstLineChars="200"/>
        <w:jc w:val="center"/>
        <w:rPr>
          <w:rFonts w:ascii="宋体" w:hAnsi="宋体"/>
          <w:b/>
          <w:bCs/>
          <w:szCs w:val="24"/>
        </w:rPr>
      </w:pPr>
      <w:r>
        <w:rPr>
          <w:rFonts w:hint="eastAsia" w:ascii="宋体" w:hAnsi="宋体"/>
          <w:b/>
          <w:bCs/>
          <w:szCs w:val="24"/>
        </w:rPr>
        <w:t>《评审要素和分值分解表》</w:t>
      </w:r>
    </w:p>
    <w:tbl>
      <w:tblPr>
        <w:tblStyle w:val="12"/>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92"/>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2" w:type="dxa"/>
            <w:vAlign w:val="center"/>
          </w:tcPr>
          <w:p>
            <w:pPr>
              <w:spacing w:line="480" w:lineRule="exact"/>
              <w:ind w:right="-108" w:rightChars="-45"/>
              <w:jc w:val="center"/>
              <w:rPr>
                <w:rFonts w:ascii="宋体" w:hAnsi="宋体"/>
                <w:szCs w:val="24"/>
              </w:rPr>
            </w:pPr>
            <w:r>
              <w:rPr>
                <w:rFonts w:hint="eastAsia" w:ascii="宋体" w:hAnsi="宋体"/>
                <w:szCs w:val="24"/>
              </w:rPr>
              <w:t>报价</w:t>
            </w:r>
          </w:p>
        </w:tc>
        <w:tc>
          <w:tcPr>
            <w:tcW w:w="992" w:type="dxa"/>
            <w:vAlign w:val="center"/>
          </w:tcPr>
          <w:p>
            <w:pPr>
              <w:spacing w:line="480" w:lineRule="exact"/>
              <w:ind w:left="-134" w:leftChars="-56" w:right="-108" w:rightChars="-45"/>
              <w:jc w:val="center"/>
              <w:rPr>
                <w:rFonts w:ascii="宋体" w:hAnsi="宋体"/>
                <w:szCs w:val="24"/>
              </w:rPr>
            </w:pPr>
            <w:r>
              <w:rPr>
                <w:rFonts w:hint="eastAsia" w:ascii="宋体" w:hAnsi="宋体"/>
                <w:szCs w:val="24"/>
              </w:rPr>
              <w:t>30分</w:t>
            </w:r>
          </w:p>
        </w:tc>
        <w:tc>
          <w:tcPr>
            <w:tcW w:w="8363" w:type="dxa"/>
            <w:vAlign w:val="center"/>
          </w:tcPr>
          <w:p>
            <w:pPr>
              <w:pStyle w:val="22"/>
              <w:spacing w:line="460" w:lineRule="exact"/>
              <w:rPr>
                <w:rFonts w:ascii="宋体" w:hAnsi="宋体"/>
                <w:kern w:val="2"/>
                <w:sz w:val="24"/>
                <w:szCs w:val="24"/>
              </w:rPr>
            </w:pPr>
            <w:r>
              <w:rPr>
                <w:rFonts w:hint="eastAsia" w:ascii="宋体" w:hAnsi="宋体"/>
                <w:kern w:val="2"/>
                <w:sz w:val="24"/>
                <w:szCs w:val="24"/>
              </w:rPr>
              <w:t>价格分采用低价优先法计算，即满足招标文件要求且投标价格最低的投标报价为评标基准价，其价格分为满分。其他供应商的价格分统一按照下列公式计算：</w:t>
            </w:r>
          </w:p>
          <w:p>
            <w:pPr>
              <w:widowControl/>
              <w:spacing w:line="460" w:lineRule="exact"/>
              <w:jc w:val="left"/>
              <w:rPr>
                <w:rFonts w:ascii="宋体" w:hAnsi="宋体"/>
                <w:szCs w:val="24"/>
              </w:rPr>
            </w:pPr>
            <w:r>
              <w:rPr>
                <w:rFonts w:hint="eastAsia" w:ascii="宋体" w:hAnsi="宋体"/>
                <w:szCs w:val="24"/>
              </w:rPr>
              <w:t>投标报价得分=（评标基准价/投标报价）×30</w:t>
            </w:r>
          </w:p>
          <w:p>
            <w:pPr>
              <w:widowControl/>
              <w:spacing w:line="460" w:lineRule="exact"/>
              <w:jc w:val="left"/>
              <w:rPr>
                <w:rFonts w:ascii="宋体" w:hAnsi="宋体"/>
                <w:szCs w:val="24"/>
              </w:rPr>
            </w:pPr>
            <w:r>
              <w:rPr>
                <w:rFonts w:hint="eastAsia" w:ascii="宋体" w:hAnsi="宋体" w:cs="宋体"/>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widowControl/>
              <w:spacing w:line="460" w:lineRule="exact"/>
              <w:jc w:val="left"/>
              <w:rPr>
                <w:rFonts w:ascii="宋体" w:hAnsi="宋体"/>
                <w:szCs w:val="24"/>
              </w:rPr>
            </w:pPr>
            <w:r>
              <w:rPr>
                <w:rFonts w:hint="eastAsia" w:ascii="宋体" w:hAnsi="宋体"/>
                <w:szCs w:val="24"/>
              </w:rPr>
              <w:t>（因落实政府采购政策进行价格调整的，以调整后的价格计算评标基准价和投标报价</w:t>
            </w:r>
            <w:r>
              <w:rPr>
                <w:rFonts w:hint="eastAsia" w:ascii="宋体" w:hAnsi="宋体"/>
                <w:color w:val="000000"/>
                <w:szCs w:val="24"/>
              </w:rPr>
              <w:t>，详见3-7-1至3-7-3）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852" w:type="dxa"/>
            <w:vAlign w:val="center"/>
          </w:tcPr>
          <w:p>
            <w:pPr>
              <w:spacing w:line="480" w:lineRule="exact"/>
              <w:ind w:left="-134" w:leftChars="-56" w:right="-108" w:rightChars="-45"/>
              <w:jc w:val="center"/>
              <w:rPr>
                <w:rFonts w:ascii="宋体" w:hAnsi="宋体"/>
                <w:szCs w:val="24"/>
              </w:rPr>
            </w:pPr>
            <w:r>
              <w:rPr>
                <w:rFonts w:hint="eastAsia" w:ascii="宋体" w:hAnsi="宋体"/>
                <w:szCs w:val="24"/>
              </w:rPr>
              <w:t>商务</w:t>
            </w:r>
          </w:p>
          <w:p>
            <w:pPr>
              <w:spacing w:line="480" w:lineRule="exact"/>
              <w:ind w:left="-134" w:leftChars="-56" w:right="-108" w:rightChars="-45"/>
              <w:jc w:val="center"/>
              <w:rPr>
                <w:rFonts w:ascii="宋体" w:hAnsi="宋体"/>
                <w:szCs w:val="24"/>
              </w:rPr>
            </w:pPr>
            <w:r>
              <w:rPr>
                <w:rFonts w:hint="eastAsia" w:ascii="宋体" w:hAnsi="宋体"/>
                <w:szCs w:val="24"/>
              </w:rPr>
              <w:t>响应</w:t>
            </w:r>
          </w:p>
        </w:tc>
        <w:tc>
          <w:tcPr>
            <w:tcW w:w="992" w:type="dxa"/>
            <w:vAlign w:val="center"/>
          </w:tcPr>
          <w:p>
            <w:pPr>
              <w:spacing w:line="480" w:lineRule="exact"/>
              <w:ind w:left="-134" w:leftChars="-56" w:right="-108" w:rightChars="-45"/>
              <w:jc w:val="center"/>
              <w:rPr>
                <w:rFonts w:ascii="宋体" w:hAnsi="宋体"/>
                <w:szCs w:val="24"/>
              </w:rPr>
            </w:pPr>
            <w:r>
              <w:rPr>
                <w:rFonts w:hint="eastAsia" w:ascii="宋体" w:hAnsi="宋体"/>
                <w:szCs w:val="24"/>
              </w:rPr>
              <w:t>5分</w:t>
            </w:r>
          </w:p>
        </w:tc>
        <w:tc>
          <w:tcPr>
            <w:tcW w:w="8363" w:type="dxa"/>
            <w:vAlign w:val="center"/>
          </w:tcPr>
          <w:p>
            <w:pPr>
              <w:spacing w:line="460" w:lineRule="exact"/>
              <w:rPr>
                <w:rFonts w:ascii="宋体" w:hAnsi="宋体"/>
                <w:szCs w:val="24"/>
              </w:rPr>
            </w:pPr>
            <w:r>
              <w:rPr>
                <w:rFonts w:hint="eastAsia" w:ascii="宋体" w:hAnsi="宋体"/>
                <w:szCs w:val="24"/>
              </w:rPr>
              <w:t>投标文件对交货期、设备保修期、付款方式、验收等商务要求进行详细说明，完全响应招标文件的计1分，交货期、质保期两项优于招标文件的，经横向比较后，每项最多加2分。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2" w:type="dxa"/>
            <w:vAlign w:val="center"/>
          </w:tcPr>
          <w:p>
            <w:pPr>
              <w:spacing w:line="460" w:lineRule="exact"/>
              <w:rPr>
                <w:rFonts w:ascii="宋体" w:hAnsi="宋体" w:cs="宋体"/>
                <w:color w:val="000000"/>
                <w:kern w:val="0"/>
                <w:szCs w:val="24"/>
              </w:rPr>
            </w:pPr>
            <w:r>
              <w:rPr>
                <w:rFonts w:hint="eastAsia" w:ascii="宋体" w:hAnsi="宋体" w:cs="宋体"/>
                <w:color w:val="000000"/>
                <w:kern w:val="0"/>
                <w:szCs w:val="24"/>
              </w:rPr>
              <w:t>技术</w:t>
            </w:r>
          </w:p>
          <w:p>
            <w:pPr>
              <w:spacing w:line="460" w:lineRule="exact"/>
              <w:rPr>
                <w:rFonts w:ascii="宋体" w:hAnsi="宋体" w:cs="宋体"/>
                <w:color w:val="000000"/>
                <w:kern w:val="0"/>
                <w:szCs w:val="24"/>
              </w:rPr>
            </w:pPr>
            <w:r>
              <w:rPr>
                <w:rFonts w:hint="eastAsia" w:ascii="宋体" w:hAnsi="宋体" w:cs="宋体"/>
                <w:color w:val="000000"/>
                <w:kern w:val="0"/>
                <w:szCs w:val="24"/>
              </w:rPr>
              <w:t>响应</w:t>
            </w:r>
          </w:p>
        </w:tc>
        <w:tc>
          <w:tcPr>
            <w:tcW w:w="992" w:type="dxa"/>
            <w:vAlign w:val="center"/>
          </w:tcPr>
          <w:p>
            <w:pPr>
              <w:spacing w:line="460" w:lineRule="exact"/>
              <w:jc w:val="center"/>
              <w:rPr>
                <w:rFonts w:ascii="宋体" w:hAnsi="宋体" w:cs="宋体"/>
                <w:color w:val="000000"/>
                <w:kern w:val="0"/>
                <w:szCs w:val="24"/>
              </w:rPr>
            </w:pPr>
            <w:r>
              <w:rPr>
                <w:rFonts w:hint="eastAsia" w:ascii="宋体" w:hAnsi="宋体" w:cs="宋体"/>
                <w:color w:val="000000"/>
                <w:kern w:val="0"/>
                <w:szCs w:val="24"/>
              </w:rPr>
              <w:t>37分</w:t>
            </w:r>
          </w:p>
        </w:tc>
        <w:tc>
          <w:tcPr>
            <w:tcW w:w="8363" w:type="dxa"/>
          </w:tcPr>
          <w:p>
            <w:pPr>
              <w:widowControl/>
              <w:spacing w:line="460" w:lineRule="exact"/>
              <w:jc w:val="left"/>
              <w:rPr>
                <w:rFonts w:ascii="宋体" w:hAnsi="宋体" w:cs="宋体"/>
                <w:color w:val="000000"/>
                <w:kern w:val="0"/>
                <w:szCs w:val="24"/>
              </w:rPr>
            </w:pPr>
            <w:r>
              <w:rPr>
                <w:rFonts w:hint="eastAsia" w:ascii="宋体" w:hAnsi="宋体"/>
              </w:rPr>
              <w:t>1、产品配置齐全，数量准确的计1-3分；</w:t>
            </w:r>
          </w:p>
          <w:p>
            <w:pPr>
              <w:widowControl/>
              <w:spacing w:line="460" w:lineRule="exact"/>
              <w:jc w:val="left"/>
              <w:rPr>
                <w:rFonts w:ascii="宋体" w:hAnsi="宋体" w:cs="宋体"/>
                <w:color w:val="000000"/>
                <w:kern w:val="0"/>
                <w:szCs w:val="24"/>
              </w:rPr>
            </w:pPr>
            <w:r>
              <w:rPr>
                <w:rFonts w:hint="eastAsia" w:ascii="宋体" w:hAnsi="宋体"/>
              </w:rPr>
              <w:t>2、产品技术参数清楚、明确，</w:t>
            </w:r>
            <w:r>
              <w:rPr>
                <w:rFonts w:hint="eastAsia" w:ascii="宋体" w:hAnsi="宋体" w:cs="宋体"/>
                <w:color w:val="000000"/>
                <w:kern w:val="0"/>
                <w:szCs w:val="24"/>
              </w:rPr>
              <w:t>规格、功能一致的计1-5分；</w:t>
            </w:r>
          </w:p>
          <w:p>
            <w:pPr>
              <w:widowControl/>
              <w:spacing w:line="460" w:lineRule="exact"/>
              <w:jc w:val="left"/>
              <w:rPr>
                <w:rFonts w:ascii="宋体" w:hAnsi="宋体" w:cs="宋体"/>
                <w:color w:val="000000"/>
                <w:kern w:val="0"/>
                <w:szCs w:val="24"/>
              </w:rPr>
            </w:pPr>
            <w:r>
              <w:rPr>
                <w:rFonts w:hint="eastAsia"/>
              </w:rPr>
              <w:t>3、在技术指标满足招标文件的基础上，得6分，有一项不满足的扣1分，扣完为止。</w:t>
            </w:r>
          </w:p>
          <w:p>
            <w:pPr>
              <w:widowControl/>
              <w:spacing w:line="460" w:lineRule="exact"/>
              <w:jc w:val="left"/>
              <w:rPr>
                <w:rFonts w:ascii="宋体" w:hAnsi="宋体"/>
              </w:rPr>
            </w:pPr>
            <w:r>
              <w:rPr>
                <w:rFonts w:hint="eastAsia" w:ascii="宋体" w:hAnsi="宋体" w:cs="宋体"/>
                <w:color w:val="000000"/>
                <w:kern w:val="0"/>
                <w:szCs w:val="24"/>
              </w:rPr>
              <w:t>4、产品</w:t>
            </w:r>
            <w:r>
              <w:rPr>
                <w:rFonts w:hint="eastAsia" w:ascii="宋体" w:hAnsi="宋体"/>
              </w:rPr>
              <w:t>有详细的使用说明介绍，</w:t>
            </w:r>
            <w:r>
              <w:rPr>
                <w:rFonts w:hint="eastAsia" w:ascii="宋体" w:hAnsi="宋体" w:cs="宋体"/>
                <w:color w:val="000000"/>
                <w:kern w:val="0"/>
                <w:szCs w:val="24"/>
              </w:rPr>
              <w:t>技术指标满足招标文件要求及用户实际使用需求且</w:t>
            </w:r>
            <w:r>
              <w:rPr>
                <w:rFonts w:hint="eastAsia" w:ascii="宋体" w:hAnsi="宋体"/>
              </w:rPr>
              <w:t>技术资料齐全，根据优劣程度计0-5分；</w:t>
            </w:r>
            <w:r>
              <w:rPr>
                <w:rFonts w:ascii="宋体" w:hAnsi="宋体"/>
              </w:rPr>
              <w:t xml:space="preserve"> </w:t>
            </w:r>
          </w:p>
          <w:p>
            <w:pPr>
              <w:spacing w:line="460" w:lineRule="exact"/>
              <w:jc w:val="left"/>
              <w:rPr>
                <w:rFonts w:ascii="宋体" w:hAnsi="宋体" w:eastAsiaTheme="minorEastAsia"/>
              </w:rPr>
            </w:pPr>
            <w:r>
              <w:rPr>
                <w:rFonts w:hint="eastAsia" w:ascii="宋体" w:hAnsi="宋体" w:cs="宋体"/>
                <w:color w:val="000000"/>
                <w:kern w:val="0"/>
                <w:szCs w:val="24"/>
              </w:rPr>
              <w:t>5、项目</w:t>
            </w:r>
            <w:r>
              <w:rPr>
                <w:rFonts w:hint="eastAsia" w:ascii="宋体" w:hAnsi="宋体"/>
              </w:rPr>
              <w:t>实施方案：项目组织实施计划完整可行，资金等保障措施可靠，能够保证按期供货，具有明确的项目组织机构及实施方案，评标委员会从以下方面进行比较后赋分。（18分）</w:t>
            </w:r>
          </w:p>
          <w:p>
            <w:pPr>
              <w:spacing w:line="460" w:lineRule="exact"/>
              <w:jc w:val="left"/>
              <w:rPr>
                <w:rFonts w:ascii="宋体" w:hAnsi="宋体"/>
              </w:rPr>
            </w:pPr>
            <w:r>
              <w:rPr>
                <w:rFonts w:hint="eastAsia" w:ascii="宋体" w:hAnsi="宋体"/>
              </w:rPr>
              <w:t>（1）、备货、供货进度及保证措施（0-5分）</w:t>
            </w:r>
          </w:p>
          <w:p>
            <w:pPr>
              <w:spacing w:line="460" w:lineRule="exact"/>
              <w:jc w:val="left"/>
              <w:rPr>
                <w:rFonts w:ascii="宋体" w:hAnsi="宋体"/>
              </w:rPr>
            </w:pPr>
            <w:r>
              <w:rPr>
                <w:rFonts w:hint="eastAsia" w:ascii="宋体" w:hAnsi="宋体"/>
              </w:rPr>
              <w:t>（2）、拟投入本项目的人员安排及责任制度（0-4分）</w:t>
            </w:r>
          </w:p>
          <w:p>
            <w:pPr>
              <w:widowControl/>
              <w:spacing w:line="460" w:lineRule="exact"/>
              <w:jc w:val="left"/>
              <w:rPr>
                <w:rFonts w:ascii="宋体" w:hAnsi="宋体"/>
              </w:rPr>
            </w:pPr>
            <w:r>
              <w:rPr>
                <w:rFonts w:hint="eastAsia" w:ascii="宋体" w:hAnsi="宋体"/>
              </w:rPr>
              <w:t>（3）、</w:t>
            </w:r>
            <w:r>
              <w:rPr>
                <w:rFonts w:hint="eastAsia" w:ascii="宋体" w:hAnsi="宋体" w:cs="宋体"/>
                <w:color w:val="000000"/>
                <w:kern w:val="0"/>
                <w:szCs w:val="24"/>
              </w:rPr>
              <w:t>产品安装、检测、运输、派送等方面保证措施</w:t>
            </w:r>
            <w:r>
              <w:rPr>
                <w:rFonts w:hint="eastAsia" w:ascii="宋体" w:hAnsi="宋体"/>
              </w:rPr>
              <w:t>（0-5分）</w:t>
            </w:r>
          </w:p>
          <w:p>
            <w:pPr>
              <w:widowControl/>
              <w:spacing w:line="460" w:lineRule="exact"/>
              <w:jc w:val="left"/>
              <w:rPr>
                <w:rFonts w:ascii="宋体" w:hAnsi="宋体"/>
              </w:rPr>
            </w:pPr>
            <w:r>
              <w:rPr>
                <w:rFonts w:hint="eastAsia" w:ascii="宋体" w:hAnsi="宋体"/>
                <w:color w:val="000000"/>
              </w:rPr>
              <w:t>（4）、</w:t>
            </w:r>
            <w:r>
              <w:rPr>
                <w:rFonts w:hint="eastAsia" w:ascii="宋体" w:hAnsi="宋体" w:cs="宋体"/>
                <w:color w:val="000000"/>
                <w:kern w:val="0"/>
                <w:szCs w:val="24"/>
              </w:rPr>
              <w:t>设备安装调试、安全等方面保证措施</w:t>
            </w:r>
            <w:r>
              <w:rPr>
                <w:rFonts w:hint="eastAsia" w:ascii="宋体" w:hAnsi="宋体"/>
                <w:color w:val="000000"/>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2" w:type="dxa"/>
            <w:vAlign w:val="center"/>
          </w:tcPr>
          <w:p>
            <w:pPr>
              <w:spacing w:line="480" w:lineRule="exact"/>
              <w:ind w:right="-108" w:rightChars="-45"/>
              <w:jc w:val="center"/>
              <w:rPr>
                <w:rFonts w:ascii="宋体" w:hAnsi="宋体"/>
                <w:szCs w:val="24"/>
              </w:rPr>
            </w:pPr>
            <w:r>
              <w:rPr>
                <w:rFonts w:hint="eastAsia" w:ascii="宋体" w:hAnsi="宋体"/>
                <w:szCs w:val="24"/>
              </w:rPr>
              <w:t xml:space="preserve"> 节能、环保产品</w:t>
            </w:r>
          </w:p>
        </w:tc>
        <w:tc>
          <w:tcPr>
            <w:tcW w:w="992" w:type="dxa"/>
            <w:vAlign w:val="center"/>
          </w:tcPr>
          <w:p>
            <w:pPr>
              <w:spacing w:line="480" w:lineRule="exact"/>
              <w:ind w:left="-134" w:leftChars="-56" w:right="-108" w:rightChars="-45"/>
              <w:jc w:val="center"/>
              <w:rPr>
                <w:rFonts w:ascii="宋体" w:hAnsi="宋体"/>
                <w:szCs w:val="24"/>
              </w:rPr>
            </w:pPr>
            <w:r>
              <w:rPr>
                <w:rFonts w:hint="eastAsia" w:ascii="宋体" w:hAnsi="宋体"/>
                <w:szCs w:val="24"/>
              </w:rPr>
              <w:t>2分</w:t>
            </w:r>
          </w:p>
        </w:tc>
        <w:tc>
          <w:tcPr>
            <w:tcW w:w="8363" w:type="dxa"/>
            <w:vAlign w:val="center"/>
          </w:tcPr>
          <w:p>
            <w:pPr>
              <w:pStyle w:val="22"/>
              <w:spacing w:line="460" w:lineRule="exact"/>
              <w:rPr>
                <w:rFonts w:ascii="宋体" w:hAnsi="宋体"/>
                <w:sz w:val="24"/>
                <w:szCs w:val="24"/>
              </w:rPr>
            </w:pPr>
            <w:r>
              <w:rPr>
                <w:rFonts w:hint="eastAsia" w:ascii="宋体" w:hAnsi="宋体"/>
                <w:sz w:val="24"/>
                <w:szCs w:val="24"/>
              </w:rPr>
              <w:t>投标人投标产品中每有一项为节能产品政府采购清单中优先采购的节能产品的计0.5分，每有一项为环境标志产品政府采购清单中的产品的计0.5分，每有一项产品同时为节能产品政府采购清单中优先采购的节能产品和环境标志产品政府采购清单中的产品的得1分，最多得2分。（提供属于清单内产品的证明资料（从中国政府采购网上下载的网页公告等），详</w:t>
            </w:r>
            <w:r>
              <w:rPr>
                <w:rFonts w:hint="eastAsia" w:ascii="宋体" w:hAnsi="宋体"/>
                <w:color w:val="000000"/>
                <w:sz w:val="24"/>
                <w:szCs w:val="24"/>
              </w:rPr>
              <w:t>见3-7-4）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2" w:type="dxa"/>
            <w:vAlign w:val="center"/>
          </w:tcPr>
          <w:p>
            <w:pPr>
              <w:spacing w:line="480" w:lineRule="atLeast"/>
              <w:ind w:right="-95"/>
              <w:rPr>
                <w:rFonts w:ascii="宋体" w:hAnsi="宋体" w:cs="宋体"/>
                <w:color w:val="000000"/>
                <w:kern w:val="0"/>
                <w:szCs w:val="24"/>
              </w:rPr>
            </w:pPr>
            <w:r>
              <w:rPr>
                <w:rFonts w:hint="eastAsia" w:ascii="宋体" w:hAnsi="宋体" w:cs="宋体"/>
                <w:color w:val="000000"/>
                <w:kern w:val="0"/>
                <w:szCs w:val="24"/>
              </w:rPr>
              <w:t>质量</w:t>
            </w:r>
          </w:p>
          <w:p>
            <w:pPr>
              <w:spacing w:line="480" w:lineRule="atLeast"/>
              <w:ind w:right="-95"/>
              <w:rPr>
                <w:rFonts w:ascii="宋体" w:hAnsi="宋体" w:cs="宋体"/>
                <w:color w:val="000000"/>
                <w:kern w:val="0"/>
                <w:szCs w:val="24"/>
              </w:rPr>
            </w:pPr>
            <w:r>
              <w:rPr>
                <w:rFonts w:hint="eastAsia" w:ascii="宋体" w:hAnsi="宋体" w:cs="宋体"/>
                <w:color w:val="000000"/>
                <w:kern w:val="0"/>
                <w:szCs w:val="24"/>
              </w:rPr>
              <w:t>保证</w:t>
            </w:r>
          </w:p>
        </w:tc>
        <w:tc>
          <w:tcPr>
            <w:tcW w:w="992" w:type="dxa"/>
            <w:vAlign w:val="center"/>
          </w:tcPr>
          <w:p>
            <w:pPr>
              <w:spacing w:line="480" w:lineRule="atLeast"/>
              <w:ind w:right="-95"/>
              <w:jc w:val="center"/>
              <w:rPr>
                <w:rFonts w:ascii="宋体" w:hAnsi="宋体" w:cs="宋体"/>
                <w:color w:val="000000"/>
                <w:kern w:val="0"/>
                <w:szCs w:val="24"/>
              </w:rPr>
            </w:pPr>
            <w:r>
              <w:rPr>
                <w:rFonts w:hint="eastAsia" w:ascii="宋体" w:hAnsi="宋体" w:cs="宋体"/>
                <w:color w:val="000000"/>
                <w:kern w:val="0"/>
                <w:szCs w:val="24"/>
              </w:rPr>
              <w:t>6分</w:t>
            </w:r>
          </w:p>
        </w:tc>
        <w:tc>
          <w:tcPr>
            <w:tcW w:w="8363" w:type="dxa"/>
            <w:vAlign w:val="center"/>
          </w:tcPr>
          <w:p>
            <w:pPr>
              <w:spacing w:line="460" w:lineRule="exact"/>
              <w:rPr>
                <w:rFonts w:ascii="宋体" w:hAnsi="宋体" w:cs="宋体"/>
                <w:color w:val="000000"/>
                <w:kern w:val="0"/>
                <w:szCs w:val="24"/>
              </w:rPr>
            </w:pPr>
            <w:r>
              <w:rPr>
                <w:rFonts w:hint="eastAsia" w:ascii="宋体" w:hAnsi="宋体"/>
              </w:rPr>
              <w:t>所投产品制造厂家有可靠、完善的管理制度；有足够的设计、工艺、加工、检验能力；所投产品符合国际、国内相关标准，有具体可行的</w:t>
            </w:r>
            <w:r>
              <w:rPr>
                <w:rFonts w:hint="eastAsia" w:ascii="宋体" w:hAnsi="宋体" w:cs="宋体"/>
                <w:color w:val="000000"/>
                <w:kern w:val="0"/>
                <w:szCs w:val="24"/>
              </w:rPr>
              <w:t>质量保证承诺，保证使用单位能熟练操作、维护和正常使用，</w:t>
            </w:r>
            <w:r>
              <w:rPr>
                <w:rFonts w:hint="eastAsia" w:ascii="宋体" w:hAnsi="宋体"/>
              </w:rPr>
              <w:t>按其优劣程度计0-6分。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52" w:type="dxa"/>
            <w:shd w:val="clear" w:color="auto" w:fill="FFFFFF"/>
            <w:vAlign w:val="center"/>
          </w:tcPr>
          <w:p>
            <w:pPr>
              <w:widowControl/>
              <w:spacing w:line="480" w:lineRule="atLeast"/>
              <w:ind w:right="-95"/>
              <w:rPr>
                <w:rFonts w:ascii="宋体" w:hAnsi="宋体" w:cs="宋体"/>
                <w:color w:val="000000"/>
                <w:kern w:val="0"/>
                <w:szCs w:val="24"/>
              </w:rPr>
            </w:pPr>
            <w:r>
              <w:rPr>
                <w:rFonts w:hint="eastAsia" w:ascii="宋体" w:hAnsi="宋体" w:cs="宋体"/>
                <w:color w:val="000000"/>
                <w:kern w:val="0"/>
                <w:szCs w:val="24"/>
              </w:rPr>
              <w:t>业绩</w:t>
            </w:r>
          </w:p>
        </w:tc>
        <w:tc>
          <w:tcPr>
            <w:tcW w:w="992" w:type="dxa"/>
            <w:shd w:val="clear" w:color="auto" w:fill="FFFFFF"/>
            <w:vAlign w:val="center"/>
          </w:tcPr>
          <w:p>
            <w:pPr>
              <w:widowControl/>
              <w:spacing w:line="480" w:lineRule="atLeast"/>
              <w:ind w:right="-95"/>
              <w:jc w:val="center"/>
              <w:rPr>
                <w:rFonts w:ascii="宋体" w:hAnsi="宋体" w:cs="宋体"/>
                <w:color w:val="000000"/>
                <w:kern w:val="0"/>
                <w:szCs w:val="24"/>
              </w:rPr>
            </w:pPr>
            <w:r>
              <w:rPr>
                <w:rFonts w:hint="eastAsia" w:ascii="宋体" w:hAnsi="宋体" w:cs="宋体"/>
                <w:color w:val="000000"/>
                <w:kern w:val="0"/>
                <w:szCs w:val="24"/>
              </w:rPr>
              <w:t>5分</w:t>
            </w:r>
          </w:p>
        </w:tc>
        <w:tc>
          <w:tcPr>
            <w:tcW w:w="8363" w:type="dxa"/>
            <w:shd w:val="clear" w:color="auto" w:fill="FFFFFF"/>
            <w:vAlign w:val="center"/>
          </w:tcPr>
          <w:p>
            <w:pPr>
              <w:spacing w:line="460" w:lineRule="exact"/>
              <w:rPr>
                <w:rFonts w:ascii="宋体" w:hAnsi="宋体" w:cs="宋体"/>
                <w:color w:val="000000"/>
                <w:kern w:val="0"/>
                <w:szCs w:val="24"/>
              </w:rPr>
            </w:pPr>
            <w:r>
              <w:rPr>
                <w:rFonts w:hint="eastAsia" w:ascii="宋体" w:hAnsi="宋体" w:cs="宋体"/>
                <w:color w:val="000000"/>
                <w:kern w:val="0"/>
                <w:szCs w:val="24"/>
              </w:rPr>
              <w:t>以合同形式提供供应商2016年至今同类项目业绩，每份计1分，计满5分为止。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52" w:type="dxa"/>
            <w:vAlign w:val="center"/>
          </w:tcPr>
          <w:p>
            <w:pPr>
              <w:spacing w:line="460" w:lineRule="exact"/>
              <w:rPr>
                <w:rFonts w:ascii="宋体" w:hAnsi="宋体" w:cs="宋体"/>
                <w:color w:val="000000"/>
                <w:kern w:val="0"/>
                <w:szCs w:val="24"/>
              </w:rPr>
            </w:pPr>
            <w:r>
              <w:rPr>
                <w:rFonts w:hint="eastAsia" w:ascii="宋体" w:hAnsi="宋体" w:cs="宋体"/>
                <w:color w:val="000000"/>
                <w:kern w:val="0"/>
                <w:szCs w:val="24"/>
              </w:rPr>
              <w:t>售后</w:t>
            </w:r>
          </w:p>
          <w:p>
            <w:pPr>
              <w:spacing w:line="460" w:lineRule="exact"/>
              <w:rPr>
                <w:rFonts w:ascii="宋体" w:hAnsi="宋体" w:cs="宋体"/>
                <w:color w:val="000000"/>
                <w:kern w:val="0"/>
                <w:szCs w:val="24"/>
              </w:rPr>
            </w:pPr>
            <w:r>
              <w:rPr>
                <w:rFonts w:hint="eastAsia" w:ascii="宋体" w:hAnsi="宋体" w:cs="宋体"/>
                <w:color w:val="000000"/>
                <w:kern w:val="0"/>
                <w:szCs w:val="24"/>
              </w:rPr>
              <w:t>服务</w:t>
            </w:r>
          </w:p>
        </w:tc>
        <w:tc>
          <w:tcPr>
            <w:tcW w:w="992" w:type="dxa"/>
            <w:vAlign w:val="center"/>
          </w:tcPr>
          <w:p>
            <w:pPr>
              <w:spacing w:line="460" w:lineRule="exact"/>
              <w:jc w:val="center"/>
              <w:rPr>
                <w:rFonts w:ascii="宋体" w:hAnsi="宋体" w:cs="宋体"/>
                <w:color w:val="000000"/>
                <w:kern w:val="0"/>
                <w:szCs w:val="24"/>
              </w:rPr>
            </w:pPr>
            <w:r>
              <w:rPr>
                <w:rFonts w:hint="eastAsia" w:ascii="宋体" w:hAnsi="宋体" w:cs="宋体"/>
                <w:color w:val="000000"/>
                <w:kern w:val="0"/>
                <w:szCs w:val="24"/>
              </w:rPr>
              <w:t>15分</w:t>
            </w:r>
          </w:p>
        </w:tc>
        <w:tc>
          <w:tcPr>
            <w:tcW w:w="8363" w:type="dxa"/>
            <w:vAlign w:val="center"/>
          </w:tcPr>
          <w:p>
            <w:pPr>
              <w:spacing w:line="460" w:lineRule="exact"/>
              <w:rPr>
                <w:rFonts w:ascii="宋体" w:hAnsi="宋体" w:cs="宋体"/>
                <w:color w:val="000000"/>
                <w:kern w:val="0"/>
                <w:szCs w:val="24"/>
              </w:rPr>
            </w:pPr>
            <w:r>
              <w:rPr>
                <w:rFonts w:hint="eastAsia" w:ascii="宋体" w:hAnsi="宋体" w:cs="宋体"/>
                <w:color w:val="000000"/>
                <w:kern w:val="0"/>
                <w:szCs w:val="24"/>
              </w:rPr>
              <w:t>1、售后服务方案详细、具体、可行（包括提供本地化服务【需出具相关证明材料】、拟投入售后服务人员配置情况、</w:t>
            </w:r>
            <w:r>
              <w:rPr>
                <w:rFonts w:hint="eastAsia" w:ascii="宋体" w:hAnsi="宋体"/>
              </w:rPr>
              <w:t>交付用户后出现故障响应时间</w:t>
            </w:r>
            <w:r>
              <w:rPr>
                <w:rFonts w:hint="eastAsia" w:ascii="宋体" w:hAnsi="宋体" w:cs="宋体"/>
                <w:color w:val="000000"/>
                <w:kern w:val="0"/>
                <w:szCs w:val="24"/>
              </w:rPr>
              <w:t>等），</w:t>
            </w:r>
            <w:r>
              <w:rPr>
                <w:rFonts w:hint="eastAsia" w:ascii="宋体" w:hAnsi="宋体"/>
              </w:rPr>
              <w:t>根据优劣计0-5分；</w:t>
            </w:r>
          </w:p>
          <w:p>
            <w:pPr>
              <w:spacing w:line="360" w:lineRule="auto"/>
              <w:rPr>
                <w:rFonts w:ascii="宋体" w:hAnsi="宋体"/>
              </w:rPr>
            </w:pPr>
            <w:r>
              <w:rPr>
                <w:rFonts w:hint="eastAsia" w:ascii="宋体" w:hAnsi="宋体"/>
              </w:rPr>
              <w:t>2、售后服务承诺及保证措施详细、具体，备品备件及耗材情况明确，根据优劣计0-5分；</w:t>
            </w:r>
          </w:p>
          <w:p>
            <w:pPr>
              <w:spacing w:line="360" w:lineRule="auto"/>
              <w:rPr>
                <w:rFonts w:ascii="宋体" w:hAnsi="宋体"/>
              </w:rPr>
            </w:pPr>
            <w:r>
              <w:rPr>
                <w:rFonts w:hint="eastAsia" w:ascii="宋体" w:hAnsi="宋体"/>
              </w:rPr>
              <w:t>3、提供详尽的培训方案及培训计划，并列出培训的具体内容及方式，确保使用人员能够独立操作，并进行简单故障排查处理（包括：培训人数、培训时间、培训内容等），根据优劣计0-5分。</w:t>
            </w:r>
          </w:p>
        </w:tc>
      </w:tr>
    </w:tbl>
    <w:p>
      <w:pPr>
        <w:spacing w:line="360" w:lineRule="auto"/>
        <w:jc w:val="center"/>
        <w:rPr>
          <w:rFonts w:ascii="宋体" w:hAnsi="宋体"/>
          <w:b/>
          <w:snapToGrid w:val="0"/>
          <w:szCs w:val="24"/>
        </w:rPr>
      </w:pPr>
    </w:p>
    <w:p>
      <w:pPr>
        <w:spacing w:line="360" w:lineRule="auto"/>
        <w:jc w:val="center"/>
        <w:rPr>
          <w:rFonts w:ascii="宋体" w:hAnsi="宋体"/>
          <w:b/>
          <w:snapToGrid w:val="0"/>
          <w:szCs w:val="24"/>
        </w:rPr>
      </w:pPr>
      <w:r>
        <w:rPr>
          <w:rFonts w:hint="eastAsia" w:ascii="宋体" w:hAnsi="宋体"/>
          <w:b/>
          <w:snapToGrid w:val="0"/>
          <w:szCs w:val="24"/>
        </w:rPr>
        <w:t>（八） 授予合同</w:t>
      </w:r>
    </w:p>
    <w:p>
      <w:pPr>
        <w:spacing w:line="360" w:lineRule="auto"/>
        <w:rPr>
          <w:rFonts w:ascii="宋体" w:hAnsi="宋体"/>
          <w:szCs w:val="24"/>
        </w:rPr>
      </w:pPr>
      <w:bookmarkStart w:id="25" w:name="_Toc394934441"/>
      <w:bookmarkStart w:id="26" w:name="_Toc246928926"/>
      <w:bookmarkStart w:id="27" w:name="_Toc385992361"/>
      <w:bookmarkStart w:id="28" w:name="_Toc389620200"/>
      <w:r>
        <w:rPr>
          <w:rFonts w:hint="eastAsia" w:ascii="宋体" w:hAnsi="宋体"/>
          <w:szCs w:val="24"/>
        </w:rPr>
        <w:t>23、成交准则</w:t>
      </w:r>
      <w:bookmarkEnd w:id="25"/>
      <w:bookmarkEnd w:id="26"/>
      <w:bookmarkEnd w:id="27"/>
      <w:bookmarkEnd w:id="28"/>
    </w:p>
    <w:p>
      <w:pPr>
        <w:spacing w:line="360" w:lineRule="auto"/>
        <w:rPr>
          <w:rFonts w:ascii="宋体" w:hAnsi="宋体"/>
          <w:szCs w:val="24"/>
        </w:rPr>
      </w:pPr>
      <w:r>
        <w:rPr>
          <w:rFonts w:hint="eastAsia" w:ascii="宋体" w:hAnsi="宋体"/>
          <w:szCs w:val="24"/>
        </w:rPr>
        <w:t>23.1合同将授予响应文件符合磋商文件要求、并能圆满地履行合同且总得分最高的供应商。</w:t>
      </w:r>
    </w:p>
    <w:p>
      <w:pPr>
        <w:spacing w:line="360" w:lineRule="auto"/>
        <w:rPr>
          <w:rFonts w:ascii="宋体" w:hAnsi="宋体"/>
          <w:szCs w:val="24"/>
        </w:rPr>
      </w:pPr>
      <w:r>
        <w:rPr>
          <w:rFonts w:hint="eastAsia" w:ascii="宋体" w:hAnsi="宋体"/>
          <w:szCs w:val="24"/>
        </w:rPr>
        <w:t>23.2磋商小组将根据评审方法推荐成交候选供应商名单。</w:t>
      </w:r>
      <w:bookmarkStart w:id="29" w:name="_Toc385992362"/>
      <w:bookmarkStart w:id="30" w:name="_Toc389620201"/>
    </w:p>
    <w:p>
      <w:pPr>
        <w:spacing w:line="360" w:lineRule="auto"/>
        <w:rPr>
          <w:rFonts w:ascii="宋体" w:hAnsi="宋体"/>
          <w:szCs w:val="24"/>
        </w:rPr>
      </w:pPr>
      <w:r>
        <w:rPr>
          <w:rFonts w:hint="eastAsia" w:ascii="宋体" w:hAnsi="宋体"/>
          <w:szCs w:val="24"/>
        </w:rPr>
        <w:t>23.3采购代理机构在评审结束后将评审结论送采购人，采购人在收到评审结论后按照评审报告中推荐的成交候选供应商确定成交人。</w:t>
      </w:r>
    </w:p>
    <w:p>
      <w:pPr>
        <w:spacing w:line="360" w:lineRule="auto"/>
        <w:rPr>
          <w:rFonts w:ascii="宋体" w:hAnsi="宋体"/>
          <w:szCs w:val="24"/>
        </w:rPr>
      </w:pPr>
      <w:r>
        <w:rPr>
          <w:rFonts w:hint="eastAsia" w:ascii="宋体" w:hAnsi="宋体"/>
          <w:szCs w:val="24"/>
        </w:rPr>
        <w:t>23.4成交人因不可抗力或自身原因不能履行合同的，采购人可以再排位在成交人之后的第一位的成交候选人签订合同，以此类推。</w:t>
      </w:r>
    </w:p>
    <w:bookmarkEnd w:id="29"/>
    <w:bookmarkEnd w:id="30"/>
    <w:p>
      <w:pPr>
        <w:spacing w:line="360" w:lineRule="auto"/>
        <w:rPr>
          <w:rFonts w:ascii="宋体" w:hAnsi="宋体"/>
          <w:szCs w:val="24"/>
        </w:rPr>
      </w:pPr>
      <w:bookmarkStart w:id="31" w:name="_Toc385992364"/>
      <w:bookmarkStart w:id="32" w:name="_Toc389620203"/>
      <w:bookmarkStart w:id="33" w:name="_Toc246928927"/>
      <w:bookmarkStart w:id="34" w:name="_Toc394934442"/>
      <w:r>
        <w:rPr>
          <w:rFonts w:hint="eastAsia" w:ascii="宋体" w:hAnsi="宋体"/>
          <w:szCs w:val="24"/>
        </w:rPr>
        <w:t>24、定标</w:t>
      </w:r>
    </w:p>
    <w:p>
      <w:pPr>
        <w:spacing w:line="360" w:lineRule="auto"/>
        <w:rPr>
          <w:rFonts w:ascii="宋体" w:hAnsi="宋体"/>
          <w:szCs w:val="24"/>
        </w:rPr>
      </w:pPr>
      <w:r>
        <w:rPr>
          <w:rFonts w:hint="eastAsia" w:ascii="宋体" w:hAnsi="宋体"/>
          <w:szCs w:val="24"/>
        </w:rPr>
        <w:t>24.1采购代理机构应在评审结束后2个工作日内，将评审结论送采购人确认。</w:t>
      </w:r>
    </w:p>
    <w:bookmarkEnd w:id="31"/>
    <w:bookmarkEnd w:id="32"/>
    <w:p>
      <w:pPr>
        <w:spacing w:line="360" w:lineRule="auto"/>
        <w:rPr>
          <w:rFonts w:ascii="宋体" w:hAnsi="宋体"/>
          <w:szCs w:val="24"/>
        </w:rPr>
      </w:pPr>
      <w:r>
        <w:rPr>
          <w:rFonts w:hint="eastAsia" w:ascii="宋体" w:hAnsi="宋体"/>
          <w:szCs w:val="24"/>
        </w:rPr>
        <w:t>25、成交通知</w:t>
      </w:r>
      <w:bookmarkEnd w:id="33"/>
      <w:r>
        <w:rPr>
          <w:rFonts w:hint="eastAsia" w:ascii="宋体" w:hAnsi="宋体"/>
          <w:szCs w:val="24"/>
        </w:rPr>
        <w:t>书</w:t>
      </w:r>
      <w:bookmarkEnd w:id="34"/>
    </w:p>
    <w:p>
      <w:pPr>
        <w:spacing w:line="360" w:lineRule="auto"/>
        <w:rPr>
          <w:rFonts w:ascii="宋体" w:hAnsi="宋体"/>
          <w:szCs w:val="24"/>
        </w:rPr>
      </w:pPr>
      <w:bookmarkStart w:id="35" w:name="_Toc394934443"/>
      <w:bookmarkStart w:id="36" w:name="_Toc385992366"/>
      <w:bookmarkStart w:id="37" w:name="_Toc246928928"/>
      <w:bookmarkStart w:id="38" w:name="_Toc389620205"/>
      <w:r>
        <w:rPr>
          <w:rFonts w:hint="eastAsia" w:ascii="宋体" w:hAnsi="宋体"/>
          <w:szCs w:val="24"/>
        </w:rPr>
        <w:t>25.1《成交通知书》将作为签订合同的依据。</w:t>
      </w:r>
    </w:p>
    <w:p>
      <w:pPr>
        <w:spacing w:line="360" w:lineRule="auto"/>
        <w:rPr>
          <w:rFonts w:ascii="宋体" w:hAnsi="宋体"/>
          <w:szCs w:val="24"/>
        </w:rPr>
      </w:pPr>
      <w:r>
        <w:rPr>
          <w:rFonts w:hint="eastAsia" w:ascii="宋体" w:hAnsi="宋体"/>
          <w:szCs w:val="24"/>
        </w:rPr>
        <w:t>25.2对未成交者，采购代理机构和采购人不做出解释，亦不退还响应文件。</w:t>
      </w:r>
    </w:p>
    <w:p>
      <w:pPr>
        <w:spacing w:line="360" w:lineRule="auto"/>
        <w:rPr>
          <w:rFonts w:ascii="宋体" w:hAnsi="宋体"/>
          <w:szCs w:val="24"/>
        </w:rPr>
      </w:pPr>
      <w:r>
        <w:rPr>
          <w:rFonts w:hint="eastAsia" w:ascii="宋体" w:hAnsi="宋体"/>
          <w:szCs w:val="24"/>
        </w:rPr>
        <w:t>26、签订合同</w:t>
      </w:r>
      <w:bookmarkEnd w:id="35"/>
      <w:bookmarkEnd w:id="36"/>
      <w:bookmarkEnd w:id="37"/>
      <w:bookmarkEnd w:id="38"/>
    </w:p>
    <w:p>
      <w:pPr>
        <w:spacing w:line="360" w:lineRule="auto"/>
        <w:rPr>
          <w:rFonts w:ascii="宋体" w:hAnsi="宋体"/>
          <w:szCs w:val="24"/>
        </w:rPr>
      </w:pPr>
      <w:r>
        <w:rPr>
          <w:rFonts w:hint="eastAsia" w:ascii="宋体" w:hAnsi="宋体"/>
          <w:szCs w:val="24"/>
        </w:rPr>
        <w:t>26.1成交人应当自成交通知书发出之日起30日内，按照磋商文件确定的事项和成交人的响应文件，持成交通知书与采购人签订合同</w:t>
      </w:r>
    </w:p>
    <w:p>
      <w:pPr>
        <w:spacing w:line="360" w:lineRule="auto"/>
        <w:rPr>
          <w:rFonts w:ascii="宋体" w:hAnsi="宋体"/>
          <w:szCs w:val="24"/>
        </w:rPr>
      </w:pPr>
      <w:r>
        <w:rPr>
          <w:rFonts w:hint="eastAsia" w:ascii="宋体" w:hAnsi="宋体"/>
          <w:szCs w:val="24"/>
        </w:rPr>
        <w:t>26.2 磋商文件、成交人的响应文件和补充文件（如澄清、承诺等）等，均为签订合同的依据。所签订的合同不得对磋商文件和成交人响应文件作实质性修改。</w:t>
      </w:r>
    </w:p>
    <w:p>
      <w:pPr>
        <w:spacing w:line="360" w:lineRule="auto"/>
        <w:jc w:val="center"/>
        <w:rPr>
          <w:rFonts w:ascii="宋体" w:hAnsi="宋体"/>
          <w:b/>
          <w:snapToGrid w:val="0"/>
          <w:szCs w:val="24"/>
        </w:rPr>
      </w:pPr>
      <w:bookmarkStart w:id="39" w:name="_Toc7215"/>
      <w:r>
        <w:rPr>
          <w:rFonts w:hint="eastAsia" w:ascii="宋体" w:hAnsi="宋体"/>
          <w:b/>
          <w:snapToGrid w:val="0"/>
          <w:szCs w:val="24"/>
        </w:rPr>
        <w:t>（九）合同的履约验收</w:t>
      </w:r>
      <w:bookmarkEnd w:id="39"/>
    </w:p>
    <w:p>
      <w:pPr>
        <w:spacing w:line="480" w:lineRule="exact"/>
        <w:rPr>
          <w:rFonts w:ascii="Tahoma" w:hAnsi="Tahoma"/>
        </w:rPr>
      </w:pPr>
      <w:r>
        <w:rPr>
          <w:rFonts w:hint="eastAsia" w:ascii="Tahoma" w:hAnsi="Tahoma"/>
        </w:rPr>
        <w:t xml:space="preserve">     采购人应按照政府采购合同约定的技术、服务、安全标准组织对投标人每一项技术、服务、安全标准的履约情况进行验收，并出具验收书。</w:t>
      </w:r>
    </w:p>
    <w:p>
      <w:pPr>
        <w:spacing w:line="360" w:lineRule="auto"/>
        <w:jc w:val="center"/>
        <w:rPr>
          <w:rFonts w:ascii="宋体" w:hAnsi="宋体"/>
          <w:b/>
          <w:snapToGrid w:val="0"/>
          <w:szCs w:val="24"/>
        </w:rPr>
      </w:pPr>
      <w:bookmarkStart w:id="40" w:name="_Toc15528"/>
      <w:r>
        <w:rPr>
          <w:rFonts w:hint="eastAsia" w:ascii="宋体" w:hAnsi="宋体"/>
          <w:b/>
          <w:snapToGrid w:val="0"/>
          <w:szCs w:val="24"/>
        </w:rPr>
        <w:t>（十）招标服务费</w:t>
      </w:r>
      <w:bookmarkEnd w:id="40"/>
    </w:p>
    <w:p>
      <w:pPr>
        <w:spacing w:line="460" w:lineRule="exact"/>
        <w:ind w:firstLine="480" w:firstLineChars="200"/>
        <w:rPr>
          <w:rFonts w:ascii="宋体" w:hAnsi="宋体"/>
          <w:szCs w:val="24"/>
        </w:rPr>
      </w:pPr>
      <w:r>
        <w:rPr>
          <w:rFonts w:hint="eastAsia" w:ascii="宋体" w:hAnsi="宋体"/>
          <w:bCs/>
          <w:szCs w:val="24"/>
        </w:rPr>
        <w:t>1、</w:t>
      </w:r>
      <w:r>
        <w:rPr>
          <w:rFonts w:hint="eastAsia" w:ascii="宋体" w:hAnsi="宋体"/>
          <w:szCs w:val="24"/>
        </w:rPr>
        <w:t>中标人在领取中标通知书时，</w:t>
      </w:r>
      <w:bookmarkStart w:id="41" w:name="_Toc194663910"/>
      <w:bookmarkStart w:id="42" w:name="_Toc193126874"/>
      <w:bookmarkStart w:id="43" w:name="_Toc193187089"/>
      <w:bookmarkStart w:id="44" w:name="_Toc188808820"/>
      <w:r>
        <w:rPr>
          <w:rFonts w:hint="eastAsia" w:ascii="宋体" w:hAnsi="宋体"/>
          <w:szCs w:val="24"/>
        </w:rPr>
        <w:t>依据《国家计委关于印发&lt;招标代理服务收费管理暂行办法&gt;的通知》(计价格〔2002〕1980号)、《国家发展改革委员会办公厅关于招标代理服务收费有关问题的通知》（发改办价格〔2003〕857号）以及《国家发展改革委关于降低部分建设项目收费标准规范收费行为等有关问题的通知》(发改价格〔2011〕534号)，向陕西中财招标代理有限公司交纳招标服务费。</w:t>
      </w:r>
    </w:p>
    <w:p>
      <w:pPr>
        <w:spacing w:line="460" w:lineRule="exact"/>
        <w:ind w:firstLine="480" w:firstLineChars="200"/>
        <w:rPr>
          <w:rFonts w:ascii="宋体" w:hAnsi="宋体"/>
          <w:szCs w:val="24"/>
        </w:rPr>
      </w:pPr>
      <w:r>
        <w:rPr>
          <w:rFonts w:hint="eastAsia" w:ascii="宋体" w:hAnsi="宋体"/>
          <w:szCs w:val="24"/>
        </w:rPr>
        <w:t>2、招标服务费应采用转账、刷卡、现金形式缴纳，不得用投标保证金冲抵。</w:t>
      </w:r>
    </w:p>
    <w:p>
      <w:pPr>
        <w:spacing w:line="460" w:lineRule="exact"/>
        <w:ind w:firstLine="480" w:firstLineChars="200"/>
        <w:rPr>
          <w:rFonts w:ascii="宋体" w:hAnsi="宋体"/>
          <w:szCs w:val="24"/>
        </w:rPr>
      </w:pPr>
      <w:r>
        <w:rPr>
          <w:rFonts w:hint="eastAsia" w:ascii="宋体" w:hAnsi="宋体"/>
          <w:szCs w:val="24"/>
        </w:rPr>
        <w:t>3、中标人如未按上述第1条规定办理，采购代理机构将没收其投标保证金。提供投标担保的投标人将由专业担保机构先行偿付采购代理机构损失。</w:t>
      </w:r>
      <w:bookmarkStart w:id="45" w:name="_Toc458617464"/>
      <w:bookmarkStart w:id="46" w:name="_Toc458617741"/>
    </w:p>
    <w:bookmarkEnd w:id="41"/>
    <w:bookmarkEnd w:id="42"/>
    <w:bookmarkEnd w:id="43"/>
    <w:bookmarkEnd w:id="44"/>
    <w:bookmarkEnd w:id="45"/>
    <w:bookmarkEnd w:id="46"/>
    <w:p>
      <w:pPr>
        <w:spacing w:line="360" w:lineRule="auto"/>
        <w:jc w:val="center"/>
        <w:rPr>
          <w:rFonts w:ascii="宋体" w:hAnsi="宋体"/>
          <w:b/>
          <w:snapToGrid w:val="0"/>
          <w:szCs w:val="24"/>
        </w:rPr>
      </w:pPr>
      <w:bookmarkStart w:id="47" w:name="_Toc31556"/>
      <w:bookmarkStart w:id="48" w:name="_Toc458617743"/>
      <w:bookmarkStart w:id="49" w:name="_Toc458617466"/>
      <w:r>
        <w:rPr>
          <w:rFonts w:hint="eastAsia" w:ascii="宋体" w:hAnsi="宋体"/>
          <w:b/>
          <w:snapToGrid w:val="0"/>
          <w:szCs w:val="24"/>
        </w:rPr>
        <w:t>（十一）询问、质疑与投诉(按照中华人民共和国财政部令第94号执行)</w:t>
      </w:r>
      <w:bookmarkEnd w:id="47"/>
    </w:p>
    <w:p>
      <w:pPr>
        <w:spacing w:line="500" w:lineRule="exact"/>
        <w:ind w:firstLine="480" w:firstLineChars="200"/>
        <w:rPr>
          <w:rFonts w:ascii="宋体" w:hAnsi="宋体"/>
          <w:szCs w:val="24"/>
        </w:rPr>
      </w:pPr>
      <w:r>
        <w:rPr>
          <w:rFonts w:hint="eastAsia" w:ascii="宋体" w:hAnsi="宋体"/>
          <w:szCs w:val="24"/>
        </w:rPr>
        <w:t>1、询问</w:t>
      </w:r>
    </w:p>
    <w:p>
      <w:pPr>
        <w:spacing w:line="500" w:lineRule="exact"/>
        <w:ind w:firstLine="480" w:firstLineChars="200"/>
        <w:rPr>
          <w:rFonts w:ascii="宋体" w:hAnsi="宋体" w:cs="宋体"/>
          <w:kern w:val="0"/>
          <w:szCs w:val="24"/>
        </w:rPr>
      </w:pPr>
      <w:r>
        <w:rPr>
          <w:rFonts w:hint="eastAsia" w:ascii="宋体" w:hAnsi="宋体" w:cs="宋体"/>
          <w:kern w:val="0"/>
          <w:szCs w:val="24"/>
        </w:rPr>
        <w:t>投标人对政府采购活动事项有疑问的，可以向采购人、采购代理机构提出询问。</w:t>
      </w:r>
    </w:p>
    <w:p>
      <w:pPr>
        <w:spacing w:line="500" w:lineRule="exact"/>
        <w:ind w:firstLine="480" w:firstLineChars="200"/>
        <w:rPr>
          <w:rFonts w:ascii="宋体" w:hAnsi="宋体" w:cs="宋体"/>
          <w:kern w:val="0"/>
          <w:szCs w:val="24"/>
        </w:rPr>
      </w:pPr>
      <w:r>
        <w:rPr>
          <w:rFonts w:hint="eastAsia" w:ascii="宋体" w:hAnsi="宋体" w:cs="宋体"/>
          <w:kern w:val="0"/>
          <w:szCs w:val="24"/>
        </w:rPr>
        <w:t>2、质疑</w:t>
      </w:r>
    </w:p>
    <w:p>
      <w:pPr>
        <w:spacing w:line="500" w:lineRule="exact"/>
        <w:ind w:firstLine="480" w:firstLineChars="200"/>
      </w:pPr>
      <w:r>
        <w:rPr>
          <w:rFonts w:hint="eastAsia"/>
        </w:rPr>
        <w:t>2-1、</w:t>
      </w:r>
      <w:r>
        <w:rPr>
          <w:rFonts w:hint="eastAsia" w:ascii="宋体" w:hAnsi="宋体"/>
          <w:szCs w:val="24"/>
        </w:rPr>
        <w:t>投标人认为采购文件、采购过程、中标或者成交结果使自己的权益受到损害的，可以再知道或者应知其权益受到损害之日起7个工作日内，以书面形式向采购人、采购代理机构提出质疑。</w:t>
      </w:r>
    </w:p>
    <w:p>
      <w:pPr>
        <w:spacing w:line="500" w:lineRule="exact"/>
        <w:ind w:firstLine="480" w:firstLineChars="200"/>
        <w:rPr>
          <w:rFonts w:ascii="宋体" w:hAnsi="宋体"/>
          <w:szCs w:val="24"/>
        </w:rPr>
      </w:pPr>
      <w:r>
        <w:rPr>
          <w:rFonts w:hint="eastAsia" w:ascii="宋体" w:hAnsi="宋体"/>
          <w:szCs w:val="24"/>
        </w:rPr>
        <w:t>2-2、投标人须</w:t>
      </w:r>
      <w:r>
        <w:rPr>
          <w:rFonts w:ascii="宋体" w:hAnsi="宋体"/>
          <w:szCs w:val="24"/>
        </w:rPr>
        <w:t>在法定质疑期内一次性提出针对同一采购程序环节的质疑。</w:t>
      </w:r>
    </w:p>
    <w:p>
      <w:pPr>
        <w:spacing w:line="500" w:lineRule="exact"/>
        <w:ind w:firstLine="480" w:firstLineChars="200"/>
        <w:rPr>
          <w:rFonts w:ascii="宋体" w:hAnsi="宋体"/>
        </w:rPr>
      </w:pPr>
      <w:r>
        <w:rPr>
          <w:rFonts w:hint="eastAsia" w:ascii="宋体" w:hAnsi="宋体"/>
        </w:rPr>
        <w:t>2-3、投标人必须按照财政部发布的《政府采购供应商质疑函范本》及其制作说明提出质疑。</w:t>
      </w:r>
    </w:p>
    <w:p>
      <w:pPr>
        <w:spacing w:line="500" w:lineRule="exact"/>
        <w:ind w:firstLine="480" w:firstLineChars="200"/>
        <w:rPr>
          <w:rFonts w:ascii="宋体" w:hAnsi="宋体"/>
          <w:szCs w:val="24"/>
        </w:rPr>
      </w:pPr>
      <w:r>
        <w:rPr>
          <w:rFonts w:hint="eastAsia" w:ascii="宋体" w:hAnsi="宋体"/>
          <w:szCs w:val="24"/>
        </w:rPr>
        <w:t>2-4、投标人应在法定期限内以书面形式提出质疑，联系人：裴建东，联系方式：029-86450708，地址：西安市未央区老三届首座大厦18层A804室。</w:t>
      </w:r>
    </w:p>
    <w:p>
      <w:pPr>
        <w:spacing w:line="500" w:lineRule="exact"/>
        <w:ind w:firstLine="480" w:firstLineChars="200"/>
        <w:rPr>
          <w:rFonts w:ascii="宋体" w:hAnsi="宋体"/>
          <w:szCs w:val="24"/>
        </w:rPr>
      </w:pPr>
      <w:r>
        <w:rPr>
          <w:rFonts w:hint="eastAsia" w:ascii="宋体" w:hAnsi="宋体"/>
          <w:szCs w:val="24"/>
        </w:rPr>
        <w:t>2-5、供应商提出质疑应当提交质疑函和必要的证明材料。质疑函应当包括下列内容：</w:t>
      </w:r>
    </w:p>
    <w:p>
      <w:pPr>
        <w:spacing w:line="500" w:lineRule="exact"/>
        <w:ind w:firstLine="480" w:firstLineChars="200"/>
        <w:rPr>
          <w:rFonts w:ascii="宋体" w:hAnsi="宋体"/>
          <w:szCs w:val="24"/>
        </w:rPr>
      </w:pPr>
      <w:r>
        <w:rPr>
          <w:rFonts w:hint="eastAsia" w:ascii="宋体" w:hAnsi="宋体"/>
          <w:szCs w:val="24"/>
        </w:rPr>
        <w:t>（1）供应商的姓名或者名称、地址、邮编、联系人及联系电话；</w:t>
      </w:r>
    </w:p>
    <w:p>
      <w:pPr>
        <w:spacing w:line="500" w:lineRule="exact"/>
        <w:ind w:firstLine="480" w:firstLineChars="200"/>
        <w:rPr>
          <w:rFonts w:ascii="宋体" w:hAnsi="宋体"/>
          <w:szCs w:val="24"/>
        </w:rPr>
      </w:pPr>
      <w:r>
        <w:rPr>
          <w:rFonts w:hint="eastAsia" w:ascii="宋体" w:hAnsi="宋体"/>
          <w:szCs w:val="24"/>
        </w:rPr>
        <w:t>（2）质疑项目的名称、编号；</w:t>
      </w:r>
    </w:p>
    <w:p>
      <w:pPr>
        <w:spacing w:line="500" w:lineRule="exact"/>
        <w:ind w:firstLine="480" w:firstLineChars="200"/>
        <w:rPr>
          <w:rFonts w:ascii="宋体" w:hAnsi="宋体"/>
          <w:szCs w:val="24"/>
        </w:rPr>
      </w:pPr>
      <w:r>
        <w:rPr>
          <w:rFonts w:hint="eastAsia" w:ascii="宋体" w:hAnsi="宋体"/>
          <w:szCs w:val="24"/>
        </w:rPr>
        <w:t>（3）具体、明确的质疑事项和与质疑事项相关的请求；</w:t>
      </w:r>
    </w:p>
    <w:p>
      <w:pPr>
        <w:spacing w:line="500" w:lineRule="exact"/>
        <w:ind w:firstLine="480" w:firstLineChars="200"/>
        <w:rPr>
          <w:rFonts w:ascii="宋体" w:hAnsi="宋体"/>
          <w:szCs w:val="24"/>
        </w:rPr>
      </w:pPr>
      <w:r>
        <w:rPr>
          <w:rFonts w:hint="eastAsia" w:ascii="宋体" w:hAnsi="宋体"/>
          <w:szCs w:val="24"/>
        </w:rPr>
        <w:t>（4）事实依据；</w:t>
      </w:r>
    </w:p>
    <w:p>
      <w:pPr>
        <w:spacing w:line="500" w:lineRule="exact"/>
        <w:ind w:firstLine="480" w:firstLineChars="200"/>
        <w:rPr>
          <w:rFonts w:ascii="宋体" w:hAnsi="宋体"/>
          <w:szCs w:val="24"/>
        </w:rPr>
      </w:pPr>
      <w:r>
        <w:rPr>
          <w:rFonts w:hint="eastAsia" w:ascii="宋体" w:hAnsi="宋体"/>
          <w:szCs w:val="24"/>
        </w:rPr>
        <w:t>（5）必要的法律依据；</w:t>
      </w:r>
    </w:p>
    <w:p>
      <w:pPr>
        <w:spacing w:line="500" w:lineRule="exact"/>
        <w:ind w:firstLine="480" w:firstLineChars="200"/>
        <w:rPr>
          <w:rFonts w:ascii="宋体" w:hAnsi="宋体"/>
          <w:szCs w:val="24"/>
        </w:rPr>
      </w:pPr>
      <w:r>
        <w:rPr>
          <w:rFonts w:hint="eastAsia" w:ascii="宋体" w:hAnsi="宋体"/>
          <w:szCs w:val="24"/>
        </w:rPr>
        <w:t>（6）提出质疑的日期。</w:t>
      </w:r>
    </w:p>
    <w:p>
      <w:pPr>
        <w:spacing w:line="500" w:lineRule="exact"/>
        <w:ind w:firstLine="480" w:firstLineChars="200"/>
        <w:rPr>
          <w:rFonts w:ascii="宋体" w:hAnsi="宋体"/>
          <w:szCs w:val="24"/>
        </w:rPr>
      </w:pPr>
      <w:r>
        <w:rPr>
          <w:rFonts w:hint="eastAsia" w:ascii="宋体" w:hAnsi="宋体"/>
          <w:szCs w:val="24"/>
        </w:rPr>
        <w:t>3、投诉</w:t>
      </w:r>
    </w:p>
    <w:p>
      <w:pPr>
        <w:spacing w:line="500" w:lineRule="exact"/>
        <w:ind w:firstLine="480" w:firstLineChars="200"/>
        <w:rPr>
          <w:rFonts w:ascii="宋体" w:hAnsi="宋体"/>
          <w:szCs w:val="24"/>
        </w:rPr>
      </w:pPr>
      <w:r>
        <w:rPr>
          <w:rFonts w:hint="eastAsia" w:ascii="宋体" w:hAnsi="宋体" w:cs="宋体"/>
          <w:kern w:val="0"/>
          <w:szCs w:val="24"/>
        </w:rPr>
        <w:t>质疑投标人对采购人、采购代理机构的答复不满意或者采购人、采购代理机构未在规定的时间内作出答复的，可按《政府采购法》第55条和</w:t>
      </w:r>
      <w:r>
        <w:rPr>
          <w:rFonts w:hint="eastAsia" w:ascii="宋体" w:hAnsi="宋体"/>
          <w:szCs w:val="24"/>
        </w:rPr>
        <w:t>《政府采购质疑和投诉办法》（财政部令第94号）第17条</w:t>
      </w:r>
      <w:r>
        <w:rPr>
          <w:rFonts w:hint="eastAsia" w:ascii="宋体" w:hAnsi="宋体" w:cs="宋体"/>
          <w:kern w:val="0"/>
          <w:szCs w:val="24"/>
        </w:rPr>
        <w:t>等有关规定执行。</w:t>
      </w:r>
    </w:p>
    <w:p>
      <w:pPr>
        <w:spacing w:line="360" w:lineRule="auto"/>
        <w:jc w:val="center"/>
        <w:rPr>
          <w:rFonts w:ascii="宋体" w:hAnsi="宋体"/>
          <w:b/>
          <w:snapToGrid w:val="0"/>
          <w:szCs w:val="24"/>
        </w:rPr>
      </w:pPr>
      <w:bookmarkStart w:id="50" w:name="_Toc16414"/>
      <w:r>
        <w:rPr>
          <w:rFonts w:hint="eastAsia" w:ascii="宋体" w:hAnsi="宋体"/>
          <w:b/>
          <w:snapToGrid w:val="0"/>
          <w:szCs w:val="24"/>
        </w:rPr>
        <w:t>（十二）拒绝商业贿赂</w:t>
      </w:r>
      <w:bookmarkEnd w:id="48"/>
      <w:bookmarkEnd w:id="49"/>
      <w:bookmarkEnd w:id="50"/>
    </w:p>
    <w:p>
      <w:pPr>
        <w:spacing w:line="500" w:lineRule="exact"/>
        <w:ind w:firstLine="480" w:firstLineChars="200"/>
        <w:rPr>
          <w:rFonts w:ascii="宋体" w:hAnsi="宋体"/>
          <w:szCs w:val="24"/>
        </w:rPr>
      </w:pPr>
      <w:r>
        <w:rPr>
          <w:rFonts w:hint="eastAsia" w:ascii="宋体" w:hAnsi="宋体"/>
          <w:szCs w:val="24"/>
        </w:rPr>
        <w:t>1、遵照陕西省财政厅的规定，采购人、采购代理机构、投标人和评审专家在招投标活动中，都要签订相应的《拒绝政府采购领域商业贿赂承诺书》，并对违反承诺的行为承担全部责任。</w:t>
      </w:r>
    </w:p>
    <w:p>
      <w:pPr>
        <w:spacing w:line="500" w:lineRule="exact"/>
        <w:ind w:firstLine="480" w:firstLineChars="200"/>
        <w:rPr>
          <w:rFonts w:ascii="宋体" w:hAnsi="宋体"/>
          <w:szCs w:val="24"/>
        </w:rPr>
      </w:pPr>
      <w:r>
        <w:rPr>
          <w:rFonts w:hint="eastAsia" w:ascii="宋体" w:hAnsi="宋体"/>
          <w:szCs w:val="24"/>
        </w:rPr>
        <w:t>2、投标人必须填写《拒绝政府采购领域商业贿赂承诺书》（附件）并附在投标文件中，同时应保证投标文件正、副本中一致。</w:t>
      </w:r>
    </w:p>
    <w:p>
      <w:pPr>
        <w:spacing w:line="480" w:lineRule="exact"/>
        <w:ind w:firstLine="480" w:firstLineChars="200"/>
        <w:rPr>
          <w:rFonts w:ascii="宋体" w:hAnsi="宋体"/>
          <w:szCs w:val="24"/>
        </w:rPr>
        <w:sectPr>
          <w:footerReference r:id="rId12" w:type="first"/>
          <w:footerReference r:id="rId11" w:type="default"/>
          <w:pgSz w:w="11906" w:h="16838"/>
          <w:pgMar w:top="1418" w:right="828" w:bottom="1418" w:left="1218" w:header="851" w:footer="992" w:gutter="0"/>
          <w:cols w:space="720" w:num="1"/>
          <w:docGrid w:linePitch="312" w:charSpace="0"/>
        </w:sectPr>
      </w:pPr>
    </w:p>
    <w:p>
      <w:pPr>
        <w:pStyle w:val="3"/>
      </w:pPr>
      <w:bookmarkStart w:id="51" w:name="_Toc885"/>
      <w:bookmarkStart w:id="52" w:name="_Toc6506"/>
      <w:r>
        <w:rPr>
          <w:rFonts w:hint="eastAsia"/>
        </w:rPr>
        <w:t>第三章 合同条款及格式</w:t>
      </w:r>
      <w:bookmarkEnd w:id="51"/>
      <w:bookmarkEnd w:id="52"/>
    </w:p>
    <w:p>
      <w:pPr>
        <w:spacing w:line="360" w:lineRule="auto"/>
        <w:jc w:val="center"/>
        <w:outlineLvl w:val="1"/>
        <w:rPr>
          <w:rFonts w:ascii="宋体"/>
          <w:b/>
          <w:color w:val="000000"/>
          <w:sz w:val="36"/>
          <w:szCs w:val="52"/>
        </w:rPr>
      </w:pPr>
    </w:p>
    <w:p>
      <w:pPr>
        <w:spacing w:line="360" w:lineRule="auto"/>
        <w:jc w:val="center"/>
        <w:outlineLvl w:val="1"/>
        <w:rPr>
          <w:rFonts w:ascii="宋体"/>
          <w:b/>
          <w:color w:val="000000"/>
          <w:sz w:val="36"/>
          <w:szCs w:val="52"/>
        </w:rPr>
      </w:pPr>
      <w:r>
        <w:rPr>
          <w:rFonts w:hint="eastAsia" w:ascii="宋体"/>
          <w:b/>
          <w:color w:val="000000"/>
          <w:sz w:val="36"/>
          <w:szCs w:val="52"/>
        </w:rPr>
        <w:t>陕西学前师范学院体质评价与运动干预实践教学创新平台建设项目</w:t>
      </w:r>
    </w:p>
    <w:p>
      <w:pPr>
        <w:pStyle w:val="2"/>
      </w:pPr>
    </w:p>
    <w:p>
      <w:pPr>
        <w:pStyle w:val="2"/>
      </w:pPr>
    </w:p>
    <w:p>
      <w:pPr>
        <w:pStyle w:val="2"/>
      </w:pPr>
    </w:p>
    <w:p>
      <w:pPr>
        <w:pStyle w:val="2"/>
      </w:pPr>
    </w:p>
    <w:p>
      <w:pPr>
        <w:pStyle w:val="2"/>
      </w:pPr>
    </w:p>
    <w:p>
      <w:pPr>
        <w:pStyle w:val="2"/>
      </w:pPr>
    </w:p>
    <w:p>
      <w:pPr>
        <w:rPr>
          <w:rFonts w:asciiTheme="minorHAnsi"/>
          <w:color w:val="000000"/>
          <w:sz w:val="21"/>
          <w:szCs w:val="22"/>
        </w:rPr>
      </w:pPr>
    </w:p>
    <w:p>
      <w:pPr>
        <w:jc w:val="center"/>
        <w:rPr>
          <w:rFonts w:ascii="宋体"/>
          <w:b/>
          <w:color w:val="000000"/>
          <w:sz w:val="52"/>
          <w:szCs w:val="52"/>
        </w:rPr>
      </w:pPr>
      <w:r>
        <w:rPr>
          <w:rFonts w:hint="eastAsia" w:ascii="宋体"/>
          <w:b/>
          <w:color w:val="000000"/>
          <w:sz w:val="52"/>
          <w:szCs w:val="52"/>
        </w:rPr>
        <w:t>（示范文本）</w:t>
      </w:r>
    </w:p>
    <w:p>
      <w:pPr>
        <w:spacing w:line="360" w:lineRule="auto"/>
        <w:jc w:val="center"/>
        <w:outlineLvl w:val="1"/>
        <w:rPr>
          <w:rFonts w:ascii="仿宋_GB2312" w:eastAsia="仿宋_GB2312"/>
          <w:bCs/>
          <w:color w:val="000000"/>
          <w:sz w:val="48"/>
          <w:szCs w:val="48"/>
        </w:rPr>
      </w:pPr>
    </w:p>
    <w:p>
      <w:pPr>
        <w:spacing w:line="360" w:lineRule="auto"/>
        <w:jc w:val="center"/>
        <w:outlineLvl w:val="1"/>
        <w:rPr>
          <w:rFonts w:ascii="仿宋_GB2312" w:eastAsia="仿宋_GB2312"/>
          <w:bCs/>
          <w:color w:val="000000"/>
          <w:sz w:val="48"/>
          <w:szCs w:val="48"/>
        </w:rPr>
      </w:pPr>
    </w:p>
    <w:p>
      <w:pPr>
        <w:spacing w:line="360" w:lineRule="auto"/>
        <w:jc w:val="center"/>
        <w:outlineLvl w:val="1"/>
        <w:rPr>
          <w:rFonts w:ascii="仿宋_GB2312" w:eastAsia="仿宋_GB2312"/>
          <w:bCs/>
          <w:color w:val="000000"/>
          <w:sz w:val="48"/>
          <w:szCs w:val="48"/>
        </w:rPr>
      </w:pPr>
    </w:p>
    <w:p>
      <w:pPr>
        <w:spacing w:line="360" w:lineRule="auto"/>
        <w:jc w:val="center"/>
        <w:outlineLvl w:val="1"/>
        <w:rPr>
          <w:rFonts w:ascii="仿宋_GB2312" w:eastAsia="仿宋_GB2312"/>
          <w:bCs/>
          <w:color w:val="000000"/>
          <w:sz w:val="48"/>
          <w:szCs w:val="48"/>
        </w:rPr>
      </w:pPr>
    </w:p>
    <w:p>
      <w:pPr>
        <w:spacing w:line="600" w:lineRule="auto"/>
        <w:jc w:val="left"/>
        <w:outlineLvl w:val="1"/>
        <w:rPr>
          <w:rFonts w:ascii="宋体" w:eastAsiaTheme="minorEastAsia"/>
          <w:b/>
          <w:bCs/>
          <w:color w:val="000000"/>
          <w:sz w:val="36"/>
          <w:szCs w:val="36"/>
        </w:rPr>
      </w:pPr>
      <w:bookmarkStart w:id="53" w:name="_Toc16902"/>
      <w:bookmarkStart w:id="54" w:name="_Toc308"/>
      <w:bookmarkStart w:id="55" w:name="_Toc10908"/>
      <w:bookmarkStart w:id="56" w:name="_Toc4761"/>
      <w:bookmarkStart w:id="57" w:name="_Toc1253"/>
      <w:bookmarkStart w:id="58" w:name="_Toc3502"/>
      <w:r>
        <w:rPr>
          <w:rFonts w:hint="eastAsia" w:ascii="宋体"/>
          <w:b/>
          <w:bCs/>
          <w:color w:val="000000"/>
          <w:sz w:val="36"/>
          <w:szCs w:val="36"/>
        </w:rPr>
        <w:t>甲方：</w:t>
      </w:r>
      <w:bookmarkEnd w:id="53"/>
      <w:bookmarkEnd w:id="54"/>
      <w:bookmarkEnd w:id="55"/>
      <w:bookmarkEnd w:id="56"/>
      <w:bookmarkEnd w:id="57"/>
      <w:bookmarkEnd w:id="58"/>
    </w:p>
    <w:p>
      <w:pPr>
        <w:spacing w:line="600" w:lineRule="auto"/>
        <w:jc w:val="left"/>
        <w:outlineLvl w:val="1"/>
        <w:rPr>
          <w:rFonts w:ascii="宋体"/>
          <w:b/>
          <w:bCs/>
          <w:color w:val="000000"/>
          <w:sz w:val="36"/>
          <w:szCs w:val="36"/>
        </w:rPr>
      </w:pPr>
      <w:bookmarkStart w:id="59" w:name="_Toc4273"/>
      <w:bookmarkStart w:id="60" w:name="_Toc25406"/>
      <w:bookmarkStart w:id="61" w:name="_Toc17700"/>
      <w:bookmarkStart w:id="62" w:name="_Toc29859"/>
      <w:bookmarkStart w:id="63" w:name="_Toc15970"/>
      <w:bookmarkStart w:id="64" w:name="_Toc23162"/>
      <w:r>
        <w:rPr>
          <w:rFonts w:hint="eastAsia" w:ascii="宋体"/>
          <w:b/>
          <w:bCs/>
          <w:color w:val="000000"/>
          <w:sz w:val="36"/>
          <w:szCs w:val="36"/>
        </w:rPr>
        <w:t>乙方：</w:t>
      </w:r>
      <w:bookmarkEnd w:id="59"/>
      <w:bookmarkEnd w:id="60"/>
      <w:bookmarkEnd w:id="61"/>
      <w:bookmarkEnd w:id="62"/>
      <w:bookmarkEnd w:id="63"/>
      <w:bookmarkEnd w:id="64"/>
    </w:p>
    <w:p>
      <w:pPr>
        <w:adjustRightInd w:val="0"/>
        <w:snapToGrid w:val="0"/>
        <w:spacing w:line="360" w:lineRule="auto"/>
        <w:ind w:firstLine="716" w:firstLineChars="198"/>
        <w:jc w:val="center"/>
        <w:rPr>
          <w:rFonts w:ascii="宋体"/>
          <w:b/>
          <w:bCs/>
          <w:color w:val="000000"/>
          <w:sz w:val="36"/>
          <w:szCs w:val="36"/>
        </w:rPr>
      </w:pPr>
      <w:r>
        <w:rPr>
          <w:rFonts w:hint="eastAsia" w:ascii="宋体"/>
          <w:b/>
          <w:bCs/>
          <w:color w:val="000000"/>
          <w:sz w:val="36"/>
          <w:szCs w:val="36"/>
        </w:rPr>
        <w:t>二〇一九年   月</w:t>
      </w:r>
    </w:p>
    <w:p>
      <w:pPr>
        <w:pStyle w:val="3"/>
        <w:keepNext w:val="0"/>
        <w:keepLines w:val="0"/>
        <w:spacing w:before="0" w:after="0" w:line="480" w:lineRule="auto"/>
        <w:rPr>
          <w:rFonts w:ascii="宋体" w:hAnsi="宋体"/>
          <w:szCs w:val="24"/>
        </w:rPr>
      </w:pPr>
      <w:r>
        <w:rPr>
          <w:rStyle w:val="20"/>
          <w:rFonts w:hint="eastAsia" w:ascii="宋体" w:hAnsi="宋体"/>
          <w:b w:val="0"/>
          <w:szCs w:val="30"/>
        </w:rPr>
        <w:br w:type="page"/>
      </w:r>
      <w:r>
        <w:rPr>
          <w:rFonts w:hint="eastAsia" w:ascii="宋体" w:hAnsi="宋体"/>
        </w:rPr>
        <w:t xml:space="preserve">  </w:t>
      </w:r>
      <w:bookmarkStart w:id="65" w:name="_Toc24356"/>
      <w:bookmarkStart w:id="66" w:name="_Toc9374"/>
      <w:bookmarkStart w:id="67" w:name="_Toc1174"/>
      <w:bookmarkStart w:id="68" w:name="_Toc26973"/>
      <w:r>
        <w:rPr>
          <w:rFonts w:hint="eastAsia" w:ascii="宋体" w:hAnsi="宋体"/>
        </w:rPr>
        <w:t>合同条款</w:t>
      </w:r>
      <w:bookmarkEnd w:id="65"/>
      <w:bookmarkEnd w:id="66"/>
      <w:bookmarkEnd w:id="67"/>
      <w:bookmarkEnd w:id="68"/>
    </w:p>
    <w:p>
      <w:pPr>
        <w:spacing w:line="408" w:lineRule="auto"/>
        <w:ind w:firstLine="482" w:firstLineChars="200"/>
        <w:rPr>
          <w:rFonts w:ascii="宋体" w:hAnsi="宋体"/>
          <w:b/>
          <w:u w:val="single"/>
        </w:rPr>
      </w:pPr>
      <w:r>
        <w:rPr>
          <w:rFonts w:hint="eastAsia" w:ascii="宋体" w:hAnsi="宋体"/>
          <w:b/>
        </w:rPr>
        <w:t>采购人（全称）：</w:t>
      </w:r>
      <w:r>
        <w:rPr>
          <w:rFonts w:hint="eastAsia" w:ascii="宋体" w:hAnsi="宋体"/>
          <w:b/>
          <w:u w:val="single"/>
        </w:rPr>
        <w:t xml:space="preserve">                             </w:t>
      </w:r>
    </w:p>
    <w:p>
      <w:pPr>
        <w:adjustRightInd w:val="0"/>
        <w:snapToGrid w:val="0"/>
        <w:spacing w:line="408" w:lineRule="auto"/>
        <w:ind w:firstLine="482" w:firstLineChars="200"/>
        <w:rPr>
          <w:rFonts w:ascii="宋体" w:hAnsi="宋体"/>
          <w:u w:val="single"/>
        </w:rPr>
      </w:pPr>
      <w:r>
        <w:rPr>
          <w:rFonts w:hint="eastAsia" w:ascii="宋体" w:hAnsi="宋体"/>
          <w:b/>
        </w:rPr>
        <w:t>供应商（全称）：</w:t>
      </w:r>
      <w:r>
        <w:rPr>
          <w:rFonts w:hint="eastAsia" w:ascii="宋体" w:hAnsi="宋体"/>
          <w:b/>
          <w:u w:val="single"/>
        </w:rPr>
        <w:t xml:space="preserve">                             </w:t>
      </w:r>
    </w:p>
    <w:p>
      <w:pPr>
        <w:adjustRightInd w:val="0"/>
        <w:snapToGrid w:val="0"/>
        <w:spacing w:line="408" w:lineRule="auto"/>
        <w:ind w:firstLine="480" w:firstLineChars="200"/>
        <w:rPr>
          <w:rFonts w:ascii="宋体" w:hAnsi="宋体"/>
          <w:u w:val="single"/>
        </w:rPr>
      </w:pPr>
      <w:r>
        <w:rPr>
          <w:rFonts w:hint="eastAsia" w:ascii="宋体" w:hAnsi="宋体"/>
        </w:rPr>
        <w:t>根据《中华人民共和国合同法》及其他有关法律、法规，遵循平等、自愿、公平和诚信的原则，双方就下述项目范围与相关服务事项协商一致，订立本合同。</w:t>
      </w:r>
    </w:p>
    <w:p>
      <w:pPr>
        <w:spacing w:line="408" w:lineRule="auto"/>
        <w:rPr>
          <w:rFonts w:ascii="宋体" w:hAnsi="宋体"/>
          <w:b/>
        </w:rPr>
      </w:pPr>
      <w:r>
        <w:rPr>
          <w:rFonts w:hint="eastAsia" w:ascii="宋体" w:hAnsi="宋体"/>
          <w:b/>
        </w:rPr>
        <w:t>一、项目概况</w:t>
      </w:r>
    </w:p>
    <w:p>
      <w:pPr>
        <w:adjustRightInd w:val="0"/>
        <w:snapToGrid w:val="0"/>
        <w:spacing w:line="408" w:lineRule="auto"/>
        <w:ind w:firstLine="475" w:firstLineChars="198"/>
        <w:rPr>
          <w:rFonts w:ascii="宋体" w:hAnsi="宋体"/>
        </w:rPr>
      </w:pPr>
      <w:r>
        <w:rPr>
          <w:rFonts w:hint="eastAsia" w:ascii="宋体" w:hAnsi="宋体"/>
        </w:rPr>
        <w:t>1. 项目名称：</w:t>
      </w:r>
      <w:r>
        <w:rPr>
          <w:rFonts w:hint="eastAsia" w:ascii="宋体" w:hAnsi="宋体"/>
          <w:u w:val="single"/>
        </w:rPr>
        <w:t xml:space="preserve">                                  </w:t>
      </w:r>
      <w:r>
        <w:rPr>
          <w:rFonts w:hint="eastAsia" w:ascii="宋体" w:hAnsi="宋体"/>
        </w:rPr>
        <w:t>；</w:t>
      </w:r>
    </w:p>
    <w:p>
      <w:pPr>
        <w:adjustRightInd w:val="0"/>
        <w:snapToGrid w:val="0"/>
        <w:spacing w:line="408" w:lineRule="auto"/>
        <w:ind w:firstLine="475" w:firstLineChars="198"/>
        <w:rPr>
          <w:rFonts w:ascii="宋体" w:hAnsi="宋体"/>
        </w:rPr>
      </w:pPr>
      <w:r>
        <w:rPr>
          <w:rFonts w:hint="eastAsia" w:ascii="宋体" w:hAnsi="宋体"/>
        </w:rPr>
        <w:t>2. 项目地点：</w:t>
      </w:r>
      <w:r>
        <w:rPr>
          <w:rFonts w:hint="eastAsia" w:ascii="宋体" w:hAnsi="宋体"/>
          <w:u w:val="single"/>
        </w:rPr>
        <w:t xml:space="preserve">                                  </w:t>
      </w:r>
      <w:r>
        <w:rPr>
          <w:rFonts w:hint="eastAsia" w:ascii="宋体" w:hAnsi="宋体"/>
        </w:rPr>
        <w:t>；</w:t>
      </w:r>
    </w:p>
    <w:p>
      <w:pPr>
        <w:adjustRightInd w:val="0"/>
        <w:snapToGrid w:val="0"/>
        <w:spacing w:line="408" w:lineRule="auto"/>
        <w:ind w:firstLine="475" w:firstLineChars="198"/>
        <w:rPr>
          <w:rFonts w:ascii="宋体" w:hAnsi="宋体"/>
        </w:rPr>
      </w:pPr>
      <w:r>
        <w:rPr>
          <w:rFonts w:hint="eastAsia" w:ascii="宋体" w:hAnsi="宋体"/>
        </w:rPr>
        <w:t>3. 项目</w:t>
      </w:r>
      <w:r>
        <w:rPr>
          <w:rFonts w:hint="eastAsia" w:ascii="宋体" w:hAnsi="宋体"/>
          <w:kern w:val="0"/>
        </w:rPr>
        <w:t>内容</w:t>
      </w:r>
      <w:r>
        <w:rPr>
          <w:rFonts w:hint="eastAsia" w:ascii="宋体" w:hAnsi="宋体"/>
        </w:rPr>
        <w:t>：</w:t>
      </w:r>
      <w:r>
        <w:rPr>
          <w:rFonts w:hint="eastAsia" w:ascii="宋体" w:hAnsi="宋体"/>
          <w:u w:val="single"/>
        </w:rPr>
        <w:t xml:space="preserve">                                  </w:t>
      </w:r>
      <w:r>
        <w:rPr>
          <w:rFonts w:hint="eastAsia" w:ascii="宋体" w:hAnsi="宋体"/>
        </w:rPr>
        <w:t>。</w:t>
      </w:r>
    </w:p>
    <w:p>
      <w:pPr>
        <w:spacing w:line="408" w:lineRule="auto"/>
        <w:rPr>
          <w:rFonts w:ascii="宋体" w:hAnsi="宋体"/>
          <w:b/>
        </w:rPr>
      </w:pPr>
      <w:r>
        <w:rPr>
          <w:rFonts w:hint="eastAsia" w:ascii="宋体" w:hAnsi="宋体"/>
          <w:b/>
        </w:rPr>
        <w:t>二、组成本合同的文件</w:t>
      </w:r>
    </w:p>
    <w:p>
      <w:pPr>
        <w:adjustRightInd w:val="0"/>
        <w:snapToGrid w:val="0"/>
        <w:spacing w:line="408" w:lineRule="auto"/>
        <w:ind w:firstLine="475" w:firstLineChars="198"/>
        <w:rPr>
          <w:rFonts w:ascii="宋体" w:hAnsi="宋体"/>
        </w:rPr>
      </w:pPr>
      <w:r>
        <w:rPr>
          <w:rFonts w:hint="eastAsia" w:ascii="宋体" w:hAnsi="宋体"/>
        </w:rPr>
        <w:t>1. 协议书；</w:t>
      </w:r>
    </w:p>
    <w:p>
      <w:pPr>
        <w:adjustRightInd w:val="0"/>
        <w:snapToGrid w:val="0"/>
        <w:spacing w:line="408" w:lineRule="auto"/>
        <w:ind w:firstLine="475" w:firstLineChars="198"/>
        <w:rPr>
          <w:rFonts w:ascii="宋体" w:hAnsi="宋体"/>
        </w:rPr>
      </w:pPr>
      <w:r>
        <w:rPr>
          <w:rFonts w:hint="eastAsia" w:ascii="宋体" w:hAnsi="宋体"/>
        </w:rPr>
        <w:t>2. 成交通知书、响应文件、磋商文件、澄清、补充文件（或委托书）；</w:t>
      </w:r>
    </w:p>
    <w:p>
      <w:pPr>
        <w:adjustRightInd w:val="0"/>
        <w:snapToGrid w:val="0"/>
        <w:spacing w:line="408" w:lineRule="auto"/>
        <w:ind w:firstLine="475" w:firstLineChars="198"/>
        <w:rPr>
          <w:rFonts w:ascii="宋体" w:hAnsi="宋体"/>
        </w:rPr>
      </w:pPr>
      <w:r>
        <w:rPr>
          <w:rFonts w:hint="eastAsia" w:ascii="宋体" w:hAnsi="宋体"/>
        </w:rPr>
        <w:t>3. 相关服务建议书；</w:t>
      </w:r>
    </w:p>
    <w:p>
      <w:pPr>
        <w:adjustRightInd w:val="0"/>
        <w:snapToGrid w:val="0"/>
        <w:spacing w:line="408" w:lineRule="auto"/>
        <w:ind w:firstLine="475" w:firstLineChars="198"/>
        <w:rPr>
          <w:rFonts w:ascii="宋体" w:hAnsi="宋体"/>
        </w:rPr>
      </w:pPr>
      <w:r>
        <w:rPr>
          <w:rFonts w:hint="eastAsia" w:ascii="宋体" w:hAnsi="宋体"/>
        </w:rPr>
        <w:t>4. 附录，即：附表内相关服务的范围和内容；</w:t>
      </w:r>
    </w:p>
    <w:p>
      <w:pPr>
        <w:adjustRightInd w:val="0"/>
        <w:snapToGrid w:val="0"/>
        <w:spacing w:line="408" w:lineRule="auto"/>
        <w:ind w:firstLine="475" w:firstLineChars="198"/>
        <w:rPr>
          <w:rFonts w:ascii="宋体" w:hAnsi="宋体"/>
        </w:rPr>
      </w:pPr>
      <w:r>
        <w:rPr>
          <w:rFonts w:hint="eastAsia" w:ascii="宋体" w:hAnsi="宋体"/>
        </w:rPr>
        <w:t>本合同签订后，双方依法签订的补充协议也是本合同文件的组成部分。</w:t>
      </w:r>
    </w:p>
    <w:p>
      <w:pPr>
        <w:spacing w:line="408" w:lineRule="auto"/>
        <w:rPr>
          <w:rFonts w:ascii="宋体" w:hAnsi="宋体"/>
          <w:b/>
        </w:rPr>
      </w:pPr>
      <w:r>
        <w:rPr>
          <w:rFonts w:hint="eastAsia" w:ascii="宋体" w:hAnsi="宋体"/>
          <w:b/>
        </w:rPr>
        <w:t>三、合同价款</w:t>
      </w:r>
    </w:p>
    <w:p>
      <w:pPr>
        <w:adjustRightInd w:val="0"/>
        <w:snapToGrid w:val="0"/>
        <w:spacing w:line="408" w:lineRule="auto"/>
        <w:ind w:firstLine="475" w:firstLineChars="198"/>
        <w:rPr>
          <w:rFonts w:ascii="宋体" w:hAnsi="宋体"/>
        </w:rPr>
      </w:pPr>
      <w:r>
        <w:rPr>
          <w:rFonts w:hint="eastAsia" w:ascii="宋体" w:hAnsi="宋体"/>
        </w:rPr>
        <w:t>合同总价（大写）：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w:t>
      </w:r>
    </w:p>
    <w:p>
      <w:pPr>
        <w:adjustRightInd w:val="0"/>
        <w:snapToGrid w:val="0"/>
        <w:spacing w:line="408" w:lineRule="auto"/>
        <w:ind w:firstLine="475" w:firstLineChars="198"/>
        <w:rPr>
          <w:rFonts w:ascii="宋体" w:hAnsi="宋体"/>
        </w:rPr>
      </w:pPr>
      <w:r>
        <w:rPr>
          <w:rFonts w:hint="eastAsia" w:ascii="宋体" w:hAnsi="宋体"/>
        </w:rPr>
        <w:t>合同总价即成交价，合同单价不受市场价变化，合同总价根据施工工作量变化可进行调整，合同价格为含税价。</w:t>
      </w:r>
    </w:p>
    <w:p>
      <w:pPr>
        <w:adjustRightInd w:val="0"/>
        <w:snapToGrid w:val="0"/>
        <w:spacing w:line="408" w:lineRule="auto"/>
        <w:ind w:firstLine="475" w:firstLineChars="198"/>
        <w:rPr>
          <w:rFonts w:ascii="宋体" w:hAnsi="宋体"/>
        </w:rPr>
      </w:pPr>
      <w:r>
        <w:rPr>
          <w:rFonts w:hint="eastAsia" w:ascii="宋体" w:hAnsi="宋体"/>
        </w:rPr>
        <w:t>本工程为交钥匙工程，完工后必须达到正常使用。</w:t>
      </w:r>
    </w:p>
    <w:p>
      <w:pPr>
        <w:adjustRightInd w:val="0"/>
        <w:snapToGrid w:val="0"/>
        <w:spacing w:line="408" w:lineRule="auto"/>
        <w:rPr>
          <w:rFonts w:ascii="宋体" w:hAnsi="宋体"/>
          <w:b/>
        </w:rPr>
      </w:pPr>
      <w:r>
        <w:rPr>
          <w:rFonts w:hint="eastAsia" w:ascii="宋体" w:hAnsi="宋体"/>
          <w:b/>
        </w:rPr>
        <w:t>四、结算方式：</w:t>
      </w:r>
    </w:p>
    <w:p>
      <w:pPr>
        <w:spacing w:line="408" w:lineRule="auto"/>
        <w:ind w:firstLine="480" w:firstLineChars="200"/>
        <w:rPr>
          <w:rFonts w:ascii="宋体" w:hAnsi="宋体"/>
          <w:szCs w:val="24"/>
        </w:rPr>
      </w:pPr>
      <w:r>
        <w:rPr>
          <w:rFonts w:hint="eastAsia" w:ascii="宋体" w:hAnsi="宋体"/>
          <w:szCs w:val="24"/>
        </w:rPr>
        <w:t>（1）结算单位：由采购人以人民币负责结算，在付款前，供应商必须开具等额发票给采购人。</w:t>
      </w:r>
    </w:p>
    <w:p>
      <w:pPr>
        <w:spacing w:line="408" w:lineRule="auto"/>
        <w:ind w:firstLine="480" w:firstLineChars="200"/>
        <w:rPr>
          <w:rFonts w:ascii="宋体" w:hAnsi="宋体"/>
          <w:szCs w:val="24"/>
        </w:rPr>
      </w:pPr>
      <w:r>
        <w:rPr>
          <w:rFonts w:hint="eastAsia" w:ascii="宋体" w:hAnsi="宋体"/>
          <w:szCs w:val="24"/>
        </w:rPr>
        <w:t>（2）付款方式：</w:t>
      </w:r>
    </w:p>
    <w:p>
      <w:pPr>
        <w:adjustRightInd w:val="0"/>
        <w:snapToGrid w:val="0"/>
        <w:spacing w:line="408" w:lineRule="auto"/>
        <w:rPr>
          <w:rFonts w:ascii="宋体" w:hAnsi="宋体"/>
          <w:szCs w:val="24"/>
        </w:rPr>
      </w:pPr>
      <w:r>
        <w:rPr>
          <w:rFonts w:hint="eastAsia" w:ascii="宋体" w:hAnsi="宋体"/>
          <w:szCs w:val="24"/>
        </w:rPr>
        <w:t xml:space="preserve">      </w:t>
      </w:r>
      <w:bookmarkStart w:id="121" w:name="_GoBack"/>
      <w:r>
        <w:rPr>
          <w:rFonts w:hint="eastAsia" w:ascii="宋体" w:hAnsi="宋体"/>
          <w:szCs w:val="24"/>
        </w:rPr>
        <w:t>1、在合同签订前，由供应商向甲方支付合同价款的5%作为质保金，在质保期满后全额退还。</w:t>
      </w:r>
    </w:p>
    <w:p>
      <w:pPr>
        <w:adjustRightInd w:val="0"/>
        <w:snapToGrid w:val="0"/>
        <w:spacing w:line="408" w:lineRule="auto"/>
        <w:rPr>
          <w:rFonts w:ascii="宋体" w:hAnsi="宋体"/>
          <w:szCs w:val="24"/>
        </w:rPr>
      </w:pPr>
      <w:r>
        <w:rPr>
          <w:rFonts w:hint="eastAsia" w:ascii="宋体" w:hAnsi="宋体"/>
          <w:szCs w:val="24"/>
        </w:rPr>
        <w:t xml:space="preserve">     2、本项目终验合格后由采购人付清全部款项。</w:t>
      </w:r>
    </w:p>
    <w:bookmarkEnd w:id="121"/>
    <w:p>
      <w:pPr>
        <w:adjustRightInd w:val="0"/>
        <w:snapToGrid w:val="0"/>
        <w:spacing w:line="408" w:lineRule="auto"/>
        <w:rPr>
          <w:rFonts w:ascii="宋体" w:hAnsi="宋体"/>
          <w:b/>
        </w:rPr>
      </w:pPr>
      <w:r>
        <w:rPr>
          <w:rFonts w:hint="eastAsia" w:ascii="宋体" w:hAnsi="宋体"/>
          <w:b/>
        </w:rPr>
        <w:t>五、期限</w:t>
      </w:r>
    </w:p>
    <w:p>
      <w:pPr>
        <w:adjustRightInd w:val="0"/>
        <w:snapToGrid w:val="0"/>
        <w:spacing w:line="408" w:lineRule="auto"/>
        <w:ind w:firstLine="600" w:firstLineChars="250"/>
        <w:jc w:val="left"/>
        <w:rPr>
          <w:rFonts w:ascii="宋体" w:hAnsi="宋体"/>
          <w:kern w:val="0"/>
        </w:rPr>
      </w:pPr>
      <w:r>
        <w:rPr>
          <w:rFonts w:hint="eastAsia" w:ascii="宋体" w:hAnsi="宋体"/>
          <w:szCs w:val="24"/>
        </w:rPr>
        <w:t>项目实施期限：</w:t>
      </w:r>
      <w:r>
        <w:rPr>
          <w:rFonts w:hint="eastAsia" w:ascii="宋体" w:hAnsi="宋体"/>
          <w:kern w:val="0"/>
        </w:rPr>
        <w:t xml:space="preserve"> </w:t>
      </w:r>
      <w:r>
        <w:rPr>
          <w:rFonts w:hint="eastAsia" w:ascii="宋体" w:hAnsi="宋体"/>
          <w:kern w:val="0"/>
          <w:u w:val="single"/>
        </w:rPr>
        <w:t xml:space="preserve">         </w:t>
      </w:r>
      <w:r>
        <w:rPr>
          <w:rFonts w:hint="eastAsia" w:ascii="宋体" w:hAnsi="宋体"/>
          <w:kern w:val="0"/>
        </w:rPr>
        <w:t>日历日内完工，并保障整体项目正常投入使用。</w:t>
      </w:r>
    </w:p>
    <w:p>
      <w:pPr>
        <w:spacing w:line="408" w:lineRule="auto"/>
        <w:rPr>
          <w:rFonts w:ascii="宋体" w:hAnsi="宋体"/>
          <w:b/>
        </w:rPr>
      </w:pPr>
      <w:r>
        <w:rPr>
          <w:rFonts w:hint="eastAsia" w:ascii="宋体" w:hAnsi="宋体"/>
          <w:b/>
        </w:rPr>
        <w:t>六、双方承诺</w:t>
      </w:r>
    </w:p>
    <w:p>
      <w:pPr>
        <w:spacing w:line="408" w:lineRule="auto"/>
        <w:ind w:firstLine="480" w:firstLineChars="200"/>
        <w:rPr>
          <w:rFonts w:ascii="宋体" w:hAnsi="宋体"/>
          <w:szCs w:val="24"/>
        </w:rPr>
      </w:pPr>
      <w:r>
        <w:rPr>
          <w:rFonts w:hint="eastAsia" w:ascii="宋体" w:hAnsi="宋体"/>
          <w:szCs w:val="24"/>
        </w:rPr>
        <w:t>1. 供应商向采购人承诺，按照本合同约定提供相关服务。</w:t>
      </w:r>
    </w:p>
    <w:p>
      <w:pPr>
        <w:spacing w:line="408" w:lineRule="auto"/>
        <w:ind w:firstLine="480" w:firstLineChars="200"/>
        <w:rPr>
          <w:rFonts w:ascii="宋体" w:hAnsi="宋体"/>
          <w:szCs w:val="24"/>
        </w:rPr>
      </w:pPr>
      <w:r>
        <w:rPr>
          <w:rFonts w:hint="eastAsia" w:ascii="宋体" w:hAnsi="宋体"/>
          <w:szCs w:val="24"/>
        </w:rPr>
        <w:t>2. 采购人向供应商承诺，按照本合同约定支付服务款项。</w:t>
      </w:r>
    </w:p>
    <w:p>
      <w:pPr>
        <w:tabs>
          <w:tab w:val="left" w:pos="840"/>
        </w:tabs>
        <w:spacing w:line="408" w:lineRule="auto"/>
        <w:rPr>
          <w:rFonts w:ascii="宋体" w:hAnsi="宋体"/>
        </w:rPr>
      </w:pPr>
      <w:r>
        <w:rPr>
          <w:rFonts w:hint="eastAsia" w:ascii="宋体" w:hAnsi="宋体"/>
          <w:b/>
        </w:rPr>
        <w:t>七、项目实施地点：</w:t>
      </w:r>
      <w:r>
        <w:rPr>
          <w:rFonts w:hint="eastAsia" w:ascii="宋体" w:hAnsi="宋体"/>
        </w:rPr>
        <w:t>陕西学前师范学院指定地点。</w:t>
      </w:r>
    </w:p>
    <w:p>
      <w:pPr>
        <w:spacing w:line="408" w:lineRule="auto"/>
        <w:rPr>
          <w:rFonts w:ascii="宋体" w:hAnsi="宋体"/>
          <w:b/>
        </w:rPr>
      </w:pPr>
      <w:r>
        <w:rPr>
          <w:rFonts w:hint="eastAsia" w:ascii="宋体" w:hAnsi="宋体"/>
          <w:b/>
        </w:rPr>
        <w:t>八、质量保证：</w:t>
      </w:r>
    </w:p>
    <w:p>
      <w:pPr>
        <w:spacing w:line="408" w:lineRule="auto"/>
        <w:ind w:firstLine="480" w:firstLineChars="200"/>
        <w:rPr>
          <w:rFonts w:ascii="宋体" w:hAnsi="宋体"/>
          <w:szCs w:val="24"/>
        </w:rPr>
      </w:pPr>
      <w:r>
        <w:rPr>
          <w:rFonts w:hint="eastAsia" w:ascii="宋体" w:hAnsi="宋体"/>
          <w:szCs w:val="24"/>
        </w:rPr>
        <w:t>供应商</w:t>
      </w:r>
      <w:r>
        <w:rPr>
          <w:rFonts w:hint="eastAsia" w:ascii="宋体" w:hAnsi="宋体"/>
          <w:kern w:val="0"/>
        </w:rPr>
        <w:t>提供的</w:t>
      </w:r>
      <w:r>
        <w:rPr>
          <w:rFonts w:hint="eastAsia" w:ascii="宋体" w:hAnsi="宋体"/>
          <w:szCs w:val="24"/>
        </w:rPr>
        <w:t>设备(产品)</w:t>
      </w:r>
      <w:r>
        <w:rPr>
          <w:rFonts w:hint="eastAsia" w:ascii="宋体" w:hAnsi="宋体"/>
          <w:kern w:val="0"/>
        </w:rPr>
        <w:t>及材料必须保证质量可靠，为市场最新或主流</w:t>
      </w:r>
      <w:r>
        <w:rPr>
          <w:rFonts w:hint="eastAsia" w:ascii="宋体" w:hAnsi="宋体"/>
          <w:szCs w:val="24"/>
        </w:rPr>
        <w:t>设备(产品)</w:t>
      </w:r>
      <w:r>
        <w:rPr>
          <w:rFonts w:hint="eastAsia" w:ascii="宋体" w:hAnsi="宋体"/>
          <w:kern w:val="0"/>
        </w:rPr>
        <w:t>，进货渠道正常，配置合理齐全，应全面满足磋商文件的要求，磋商文件未明确要求的内容，采购人须按招标</w:t>
      </w:r>
      <w:r>
        <w:rPr>
          <w:rFonts w:hint="eastAsia" w:ascii="宋体" w:hAnsi="宋体"/>
          <w:szCs w:val="24"/>
        </w:rPr>
        <w:t>设备(产品)</w:t>
      </w:r>
      <w:r>
        <w:rPr>
          <w:rFonts w:hint="eastAsia" w:ascii="宋体" w:hAnsi="宋体"/>
          <w:kern w:val="0"/>
        </w:rPr>
        <w:t>主流标准配置或以采购人的补充要求为准。所供设备(产品)工艺质量应严格按国家最新发布的规范标准执行，如发生质量问题由供应商承担全部责任。</w:t>
      </w:r>
      <w:r>
        <w:rPr>
          <w:rFonts w:hint="eastAsia" w:ascii="宋体" w:hAnsi="宋体"/>
          <w:szCs w:val="24"/>
        </w:rPr>
        <w:t>所提供的产品、服务、工程，质量必须达到现行国家有关验收规范“合格”标准。</w:t>
      </w:r>
    </w:p>
    <w:p>
      <w:pPr>
        <w:spacing w:line="408" w:lineRule="auto"/>
        <w:ind w:firstLine="482" w:firstLineChars="200"/>
        <w:rPr>
          <w:rFonts w:ascii="宋体" w:hAnsi="宋体"/>
          <w:b/>
          <w:bCs/>
          <w:szCs w:val="24"/>
        </w:rPr>
      </w:pPr>
      <w:r>
        <w:rPr>
          <w:rFonts w:hint="eastAsia" w:ascii="宋体" w:hAnsi="宋体"/>
          <w:b/>
          <w:bCs/>
          <w:szCs w:val="24"/>
        </w:rPr>
        <w:t>所有仪器设备均包括免费安装调试和使用培训,质保时间为5年。质保期内需供货方提供一年至少2次定期维护与保养，终身维护确保零配件供应。</w:t>
      </w:r>
    </w:p>
    <w:p>
      <w:pPr>
        <w:pStyle w:val="2"/>
      </w:pPr>
    </w:p>
    <w:p>
      <w:pPr>
        <w:spacing w:line="408" w:lineRule="auto"/>
        <w:rPr>
          <w:rFonts w:ascii="宋体" w:hAnsi="宋体"/>
          <w:b/>
          <w:szCs w:val="24"/>
        </w:rPr>
      </w:pPr>
      <w:r>
        <w:rPr>
          <w:rFonts w:hint="eastAsia" w:ascii="宋体" w:hAnsi="宋体"/>
          <w:b/>
          <w:szCs w:val="24"/>
        </w:rPr>
        <w:t>九、保密</w:t>
      </w:r>
    </w:p>
    <w:p>
      <w:pPr>
        <w:spacing w:line="408" w:lineRule="auto"/>
        <w:ind w:firstLine="480" w:firstLineChars="200"/>
        <w:rPr>
          <w:rFonts w:ascii="宋体" w:hAnsi="宋体"/>
          <w:szCs w:val="24"/>
        </w:rPr>
      </w:pPr>
      <w:r>
        <w:rPr>
          <w:rFonts w:hint="eastAsia" w:ascii="宋体" w:hAnsi="宋体"/>
          <w:szCs w:val="24"/>
        </w:rPr>
        <w:t>双方须对工作中了解到的使用单位技术、机密等进行严格保密，不得向他人泄漏。</w:t>
      </w:r>
    </w:p>
    <w:p>
      <w:pPr>
        <w:spacing w:line="408" w:lineRule="auto"/>
        <w:rPr>
          <w:rFonts w:ascii="宋体" w:hAnsi="宋体"/>
          <w:b/>
          <w:szCs w:val="24"/>
        </w:rPr>
      </w:pPr>
      <w:r>
        <w:rPr>
          <w:rFonts w:hint="eastAsia" w:ascii="宋体" w:hAnsi="宋体"/>
          <w:b/>
          <w:szCs w:val="24"/>
        </w:rPr>
        <w:t>十、知识产权</w:t>
      </w:r>
    </w:p>
    <w:p>
      <w:pPr>
        <w:spacing w:line="408" w:lineRule="auto"/>
        <w:ind w:firstLine="480" w:firstLineChars="200"/>
        <w:rPr>
          <w:rFonts w:ascii="宋体" w:hAnsi="宋体"/>
          <w:szCs w:val="24"/>
        </w:rPr>
      </w:pPr>
      <w:r>
        <w:rPr>
          <w:rFonts w:hint="eastAsia" w:ascii="宋体" w:hAnsi="宋体"/>
          <w:szCs w:val="24"/>
        </w:rPr>
        <w:t>供应商应保证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pPr>
        <w:spacing w:line="408" w:lineRule="auto"/>
        <w:rPr>
          <w:rFonts w:ascii="宋体" w:hAnsi="宋体"/>
        </w:rPr>
      </w:pPr>
      <w:r>
        <w:rPr>
          <w:rFonts w:hint="eastAsia" w:ascii="宋体" w:hAnsi="宋体"/>
          <w:b/>
        </w:rPr>
        <w:t>十一、合同争议的解决：</w:t>
      </w:r>
      <w:r>
        <w:rPr>
          <w:rFonts w:hint="eastAsia" w:ascii="宋体" w:hAnsi="宋体"/>
        </w:rPr>
        <w:t>合同执行中发生争议的，当事人双方应协商解决，协商达不成一致时，可向当地行政仲裁机关申请仲裁或者向人民法院提请诉讼。</w:t>
      </w:r>
    </w:p>
    <w:p>
      <w:pPr>
        <w:spacing w:line="408" w:lineRule="auto"/>
        <w:rPr>
          <w:rFonts w:ascii="宋体" w:hAnsi="宋体"/>
        </w:rPr>
      </w:pPr>
      <w:r>
        <w:rPr>
          <w:rFonts w:hint="eastAsia" w:ascii="宋体" w:hAnsi="宋体"/>
          <w:b/>
        </w:rPr>
        <w:t>十二、</w:t>
      </w:r>
      <w:r>
        <w:rPr>
          <w:rFonts w:hint="eastAsia" w:ascii="宋体" w:hAnsi="宋体"/>
        </w:rPr>
        <w:t>合同一经签订，不得擅自变更、中止或者终止合同。对确需变更、调整或者中止、终止合同的，应按规定履行相应的手续。</w:t>
      </w:r>
    </w:p>
    <w:p>
      <w:pPr>
        <w:spacing w:line="408" w:lineRule="auto"/>
        <w:rPr>
          <w:rFonts w:ascii="宋体" w:hAnsi="宋体"/>
        </w:rPr>
      </w:pPr>
      <w:r>
        <w:rPr>
          <w:rFonts w:hint="eastAsia" w:ascii="宋体" w:hAnsi="宋体"/>
          <w:b/>
        </w:rPr>
        <w:t>十三、违约责任：</w:t>
      </w:r>
      <w:r>
        <w:rPr>
          <w:rFonts w:hint="eastAsia" w:ascii="宋体" w:hAnsi="宋体"/>
        </w:rPr>
        <w:t>依据《中华人民共和国合同法》、《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pPr>
        <w:spacing w:line="408" w:lineRule="auto"/>
        <w:rPr>
          <w:rFonts w:ascii="宋体" w:hAnsi="宋体"/>
        </w:rPr>
      </w:pPr>
      <w:r>
        <w:rPr>
          <w:rFonts w:hint="eastAsia" w:ascii="宋体" w:hAnsi="宋体"/>
          <w:b/>
        </w:rPr>
        <w:t>十四、其他（</w:t>
      </w:r>
      <w:r>
        <w:rPr>
          <w:rFonts w:hint="eastAsia" w:ascii="宋体" w:hAnsi="宋体"/>
        </w:rPr>
        <w:t>在合同中具体明确）</w:t>
      </w:r>
    </w:p>
    <w:p>
      <w:pPr>
        <w:spacing w:line="408" w:lineRule="auto"/>
        <w:rPr>
          <w:rFonts w:ascii="宋体" w:hAnsi="宋体"/>
          <w:b/>
        </w:rPr>
      </w:pPr>
      <w:r>
        <w:rPr>
          <w:rFonts w:hint="eastAsia" w:ascii="宋体" w:hAnsi="宋体"/>
          <w:b/>
        </w:rPr>
        <w:t>十五、合同订立</w:t>
      </w:r>
    </w:p>
    <w:p>
      <w:pPr>
        <w:spacing w:line="408" w:lineRule="auto"/>
        <w:ind w:firstLine="480" w:firstLineChars="200"/>
        <w:rPr>
          <w:rFonts w:ascii="宋体" w:hAnsi="宋体"/>
          <w:szCs w:val="24"/>
        </w:rPr>
      </w:pPr>
      <w:r>
        <w:rPr>
          <w:rFonts w:hint="eastAsia" w:ascii="宋体" w:hAnsi="宋体"/>
          <w:szCs w:val="24"/>
        </w:rPr>
        <w:t>1. 订立时间：</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pPr>
        <w:spacing w:line="408" w:lineRule="auto"/>
        <w:ind w:firstLine="480" w:firstLineChars="200"/>
        <w:rPr>
          <w:rFonts w:ascii="宋体" w:hAnsi="宋体"/>
          <w:szCs w:val="24"/>
        </w:rPr>
      </w:pPr>
      <w:r>
        <w:rPr>
          <w:rFonts w:hint="eastAsia" w:ascii="宋体" w:hAnsi="宋体"/>
          <w:szCs w:val="24"/>
        </w:rPr>
        <w:t>2. 订立地点：</w:t>
      </w:r>
      <w:r>
        <w:rPr>
          <w:rFonts w:hint="eastAsia" w:ascii="宋体" w:hAnsi="宋体"/>
          <w:szCs w:val="24"/>
          <w:u w:val="single"/>
        </w:rPr>
        <w:t xml:space="preserve">                      </w:t>
      </w:r>
      <w:r>
        <w:rPr>
          <w:rFonts w:hint="eastAsia" w:ascii="宋体" w:hAnsi="宋体"/>
          <w:szCs w:val="24"/>
        </w:rPr>
        <w:t>。</w:t>
      </w:r>
    </w:p>
    <w:p>
      <w:pPr>
        <w:spacing w:line="408" w:lineRule="auto"/>
        <w:ind w:firstLine="480" w:firstLineChars="200"/>
        <w:rPr>
          <w:rFonts w:ascii="宋体" w:hAnsi="宋体"/>
          <w:szCs w:val="24"/>
        </w:rPr>
      </w:pPr>
      <w:r>
        <w:rPr>
          <w:rFonts w:hint="eastAsia" w:ascii="宋体" w:hAnsi="宋体"/>
          <w:szCs w:val="24"/>
        </w:rPr>
        <w:t>3. 本合同一式   份，具有同等法律效力，双方各执  份，监管部门备案壹份、采购代理机构存档壹份。各方签字盖章后生效，合同执行完毕自动失效。（合同的服务承诺则长期有效）。</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475" w:firstLineChars="198"/>
        <w:rPr>
          <w:rFonts w:ascii="宋体" w:hAnsi="宋体"/>
          <w:szCs w:val="24"/>
        </w:rPr>
      </w:pPr>
      <w:r>
        <w:rPr>
          <w:rFonts w:hint="eastAsia" w:ascii="宋体" w:hAnsi="宋体"/>
          <w:szCs w:val="24"/>
        </w:rPr>
        <w:t>采购人：</w:t>
      </w:r>
      <w:r>
        <w:rPr>
          <w:rFonts w:hint="eastAsia" w:ascii="宋体" w:hAnsi="宋体"/>
          <w:szCs w:val="24"/>
          <w:u w:val="single"/>
        </w:rPr>
        <w:t xml:space="preserve">（盖章）    </w:t>
      </w:r>
      <w:r>
        <w:rPr>
          <w:rFonts w:hint="eastAsia" w:ascii="宋体" w:hAnsi="宋体"/>
          <w:szCs w:val="24"/>
        </w:rPr>
        <w:t xml:space="preserve">     供应商：</w:t>
      </w:r>
      <w:r>
        <w:rPr>
          <w:rFonts w:hint="eastAsia" w:ascii="宋体" w:hAnsi="宋体"/>
          <w:szCs w:val="24"/>
          <w:u w:val="single"/>
        </w:rPr>
        <w:t xml:space="preserve">        （盖章）</w:t>
      </w:r>
    </w:p>
    <w:p>
      <w:pPr>
        <w:adjustRightInd w:val="0"/>
        <w:snapToGrid w:val="0"/>
        <w:spacing w:line="360" w:lineRule="auto"/>
        <w:ind w:firstLine="475" w:firstLineChars="198"/>
        <w:rPr>
          <w:rFonts w:ascii="宋体" w:hAnsi="宋体"/>
          <w:szCs w:val="24"/>
        </w:rPr>
      </w:pPr>
      <w:r>
        <w:rPr>
          <w:rFonts w:hint="eastAsia" w:ascii="宋体" w:hAnsi="宋体"/>
          <w:szCs w:val="24"/>
        </w:rPr>
        <w:t>地址：                  地址：</w:t>
      </w:r>
    </w:p>
    <w:p>
      <w:pPr>
        <w:adjustRightInd w:val="0"/>
        <w:snapToGrid w:val="0"/>
        <w:spacing w:line="360" w:lineRule="auto"/>
        <w:ind w:firstLine="480" w:firstLineChars="200"/>
        <w:rPr>
          <w:rFonts w:ascii="宋体" w:hAnsi="宋体"/>
          <w:szCs w:val="24"/>
        </w:rPr>
      </w:pPr>
      <w:r>
        <w:rPr>
          <w:rFonts w:hint="eastAsia" w:ascii="宋体" w:hAnsi="宋体"/>
          <w:szCs w:val="24"/>
        </w:rPr>
        <w:t>邮政编码：              邮政编码：</w:t>
      </w:r>
    </w:p>
    <w:p>
      <w:pPr>
        <w:adjustRightInd w:val="0"/>
        <w:snapToGrid w:val="0"/>
        <w:spacing w:line="360" w:lineRule="auto"/>
        <w:ind w:firstLine="475" w:firstLineChars="198"/>
        <w:rPr>
          <w:rFonts w:ascii="宋体" w:hAnsi="宋体"/>
          <w:szCs w:val="24"/>
        </w:rPr>
      </w:pPr>
      <w:r>
        <w:rPr>
          <w:rFonts w:hint="eastAsia" w:ascii="宋体" w:hAnsi="宋体"/>
          <w:szCs w:val="24"/>
        </w:rPr>
        <w:t>法定代表人或其授权      法定代表人或其授权</w:t>
      </w:r>
    </w:p>
    <w:p>
      <w:pPr>
        <w:adjustRightInd w:val="0"/>
        <w:snapToGrid w:val="0"/>
        <w:spacing w:line="360" w:lineRule="auto"/>
        <w:ind w:firstLine="475" w:firstLineChars="198"/>
        <w:rPr>
          <w:rFonts w:ascii="宋体" w:hAnsi="宋体"/>
          <w:szCs w:val="24"/>
        </w:rPr>
      </w:pPr>
      <w:r>
        <w:rPr>
          <w:rFonts w:hint="eastAsia" w:ascii="宋体" w:hAnsi="宋体"/>
          <w:szCs w:val="24"/>
        </w:rPr>
        <w:t>的代理人：</w:t>
      </w:r>
      <w:r>
        <w:rPr>
          <w:rFonts w:hint="eastAsia" w:ascii="宋体" w:hAnsi="宋体"/>
          <w:szCs w:val="24"/>
          <w:u w:val="single"/>
        </w:rPr>
        <w:t xml:space="preserve">（签字）  </w:t>
      </w:r>
      <w:r>
        <w:rPr>
          <w:rFonts w:hint="eastAsia" w:ascii="宋体" w:hAnsi="宋体"/>
          <w:szCs w:val="24"/>
        </w:rPr>
        <w:t xml:space="preserve">     的代理人：</w:t>
      </w:r>
      <w:r>
        <w:rPr>
          <w:rFonts w:hint="eastAsia" w:ascii="宋体" w:hAnsi="宋体"/>
          <w:szCs w:val="24"/>
          <w:u w:val="single"/>
        </w:rPr>
        <w:t>（签字）</w:t>
      </w:r>
    </w:p>
    <w:p>
      <w:pPr>
        <w:adjustRightInd w:val="0"/>
        <w:snapToGrid w:val="0"/>
        <w:spacing w:line="360" w:lineRule="auto"/>
        <w:ind w:firstLine="475" w:firstLineChars="198"/>
        <w:rPr>
          <w:rFonts w:ascii="宋体" w:hAnsi="宋体"/>
          <w:szCs w:val="24"/>
        </w:rPr>
      </w:pPr>
      <w:r>
        <w:rPr>
          <w:rFonts w:hint="eastAsia" w:ascii="宋体" w:hAnsi="宋体"/>
          <w:szCs w:val="24"/>
        </w:rPr>
        <w:t>开户银行：              开户银行：</w:t>
      </w:r>
    </w:p>
    <w:p>
      <w:pPr>
        <w:adjustRightInd w:val="0"/>
        <w:snapToGrid w:val="0"/>
        <w:spacing w:line="360" w:lineRule="auto"/>
        <w:ind w:firstLine="475" w:firstLineChars="198"/>
        <w:rPr>
          <w:rFonts w:ascii="宋体" w:hAnsi="宋体"/>
          <w:szCs w:val="24"/>
        </w:rPr>
      </w:pPr>
      <w:r>
        <w:rPr>
          <w:rFonts w:hint="eastAsia" w:ascii="宋体" w:hAnsi="宋体"/>
          <w:szCs w:val="24"/>
        </w:rPr>
        <w:t>账号：                  账号：</w:t>
      </w:r>
    </w:p>
    <w:p>
      <w:pPr>
        <w:adjustRightInd w:val="0"/>
        <w:snapToGrid w:val="0"/>
        <w:spacing w:line="360" w:lineRule="auto"/>
        <w:ind w:firstLine="475" w:firstLineChars="198"/>
        <w:rPr>
          <w:rFonts w:ascii="宋体" w:hAnsi="宋体"/>
          <w:szCs w:val="24"/>
        </w:rPr>
      </w:pPr>
      <w:r>
        <w:rPr>
          <w:rFonts w:hint="eastAsia" w:ascii="宋体" w:hAnsi="宋体"/>
          <w:szCs w:val="24"/>
        </w:rPr>
        <w:t>电话：                  电话：</w:t>
      </w:r>
    </w:p>
    <w:p>
      <w:pPr>
        <w:adjustRightInd w:val="0"/>
        <w:snapToGrid w:val="0"/>
        <w:spacing w:line="360" w:lineRule="auto"/>
        <w:ind w:firstLine="475" w:firstLineChars="198"/>
        <w:rPr>
          <w:rFonts w:ascii="宋体" w:hAnsi="宋体"/>
          <w:szCs w:val="24"/>
        </w:rPr>
      </w:pPr>
      <w:r>
        <w:rPr>
          <w:rFonts w:hint="eastAsia" w:ascii="宋体" w:hAnsi="宋体"/>
          <w:szCs w:val="24"/>
        </w:rPr>
        <w:t>传真：                  传真：</w:t>
      </w:r>
    </w:p>
    <w:p>
      <w:pPr>
        <w:adjustRightInd w:val="0"/>
        <w:snapToGrid w:val="0"/>
        <w:spacing w:line="360" w:lineRule="auto"/>
        <w:ind w:firstLine="475" w:firstLineChars="198"/>
        <w:rPr>
          <w:rFonts w:ascii="宋体" w:hAnsi="宋体"/>
          <w:szCs w:val="24"/>
          <w:u w:val="single"/>
        </w:rPr>
      </w:pPr>
      <w:r>
        <w:rPr>
          <w:rFonts w:hint="eastAsia" w:ascii="宋体" w:hAnsi="宋体"/>
          <w:szCs w:val="24"/>
        </w:rPr>
        <w:t>电子邮箱：              电子邮箱：</w:t>
      </w:r>
    </w:p>
    <w:p>
      <w:pPr>
        <w:spacing w:line="480" w:lineRule="exact"/>
        <w:rPr>
          <w:rFonts w:ascii="宋体" w:hAnsi="宋体"/>
          <w:kern w:val="0"/>
          <w:szCs w:val="24"/>
        </w:rPr>
      </w:pPr>
    </w:p>
    <w:p>
      <w:pPr>
        <w:pStyle w:val="3"/>
        <w:numPr>
          <w:ilvl w:val="0"/>
          <w:numId w:val="2"/>
        </w:numPr>
      </w:pPr>
      <w:bookmarkStart w:id="69" w:name="_Toc458617467"/>
      <w:bookmarkStart w:id="70" w:name="_Toc22757"/>
      <w:bookmarkStart w:id="71" w:name="_Toc458617744"/>
      <w:r>
        <w:rPr>
          <w:rFonts w:hint="eastAsia"/>
        </w:rPr>
        <w:t xml:space="preserve"> 采购内容及技术要求</w:t>
      </w:r>
      <w:bookmarkEnd w:id="69"/>
      <w:bookmarkEnd w:id="70"/>
      <w:bookmarkEnd w:id="71"/>
    </w:p>
    <w:p>
      <w:pPr>
        <w:rPr>
          <w:b/>
          <w:bCs/>
        </w:rPr>
      </w:pPr>
      <w:r>
        <w:rPr>
          <w:rFonts w:hint="eastAsia"/>
          <w:b/>
          <w:bCs/>
        </w:rPr>
        <w:t>一、采购内容及技术参数</w:t>
      </w:r>
    </w:p>
    <w:tbl>
      <w:tblPr>
        <w:tblStyle w:val="12"/>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942"/>
        <w:gridCol w:w="4264"/>
        <w:gridCol w:w="863"/>
        <w:gridCol w:w="108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 w:type="dxa"/>
            <w:shd w:val="clear" w:color="auto" w:fill="CCCCCC"/>
            <w:vAlign w:val="center"/>
          </w:tcPr>
          <w:p>
            <w:pPr>
              <w:jc w:val="center"/>
              <w:rPr>
                <w:b/>
                <w:bCs/>
                <w:szCs w:val="24"/>
              </w:rPr>
            </w:pPr>
            <w:r>
              <w:rPr>
                <w:rFonts w:hint="eastAsia"/>
                <w:b/>
                <w:bCs/>
                <w:szCs w:val="24"/>
              </w:rPr>
              <w:t>序号</w:t>
            </w:r>
          </w:p>
        </w:tc>
        <w:tc>
          <w:tcPr>
            <w:tcW w:w="1942" w:type="dxa"/>
            <w:shd w:val="clear" w:color="auto" w:fill="CCCCCC"/>
            <w:vAlign w:val="center"/>
          </w:tcPr>
          <w:p>
            <w:pPr>
              <w:jc w:val="center"/>
              <w:rPr>
                <w:b/>
                <w:bCs/>
                <w:szCs w:val="24"/>
              </w:rPr>
            </w:pPr>
            <w:r>
              <w:rPr>
                <w:rFonts w:hint="eastAsia"/>
                <w:b/>
                <w:bCs/>
                <w:szCs w:val="24"/>
              </w:rPr>
              <w:t>仪器设备名称</w:t>
            </w:r>
          </w:p>
        </w:tc>
        <w:tc>
          <w:tcPr>
            <w:tcW w:w="4264" w:type="dxa"/>
            <w:shd w:val="clear" w:color="auto" w:fill="CCCCCC"/>
            <w:vAlign w:val="center"/>
          </w:tcPr>
          <w:p>
            <w:pPr>
              <w:jc w:val="center"/>
              <w:rPr>
                <w:b/>
                <w:bCs/>
                <w:szCs w:val="24"/>
              </w:rPr>
            </w:pPr>
            <w:r>
              <w:rPr>
                <w:rFonts w:hint="eastAsia"/>
                <w:b/>
                <w:bCs/>
                <w:szCs w:val="24"/>
              </w:rPr>
              <w:t>技术参数</w:t>
            </w:r>
          </w:p>
        </w:tc>
        <w:tc>
          <w:tcPr>
            <w:tcW w:w="863" w:type="dxa"/>
            <w:shd w:val="clear" w:color="auto" w:fill="CCCCCC"/>
            <w:vAlign w:val="center"/>
          </w:tcPr>
          <w:p>
            <w:pPr>
              <w:jc w:val="center"/>
              <w:rPr>
                <w:b/>
                <w:bCs/>
                <w:szCs w:val="24"/>
              </w:rPr>
            </w:pPr>
            <w:r>
              <w:rPr>
                <w:rFonts w:hint="eastAsia"/>
                <w:b/>
                <w:bCs/>
                <w:szCs w:val="24"/>
              </w:rPr>
              <w:t>数量</w:t>
            </w:r>
          </w:p>
        </w:tc>
        <w:tc>
          <w:tcPr>
            <w:tcW w:w="1089" w:type="dxa"/>
            <w:shd w:val="clear" w:color="auto" w:fill="CCCCCC"/>
            <w:vAlign w:val="center"/>
          </w:tcPr>
          <w:p>
            <w:pPr>
              <w:jc w:val="center"/>
              <w:rPr>
                <w:b/>
                <w:bCs/>
                <w:szCs w:val="24"/>
              </w:rPr>
            </w:pPr>
            <w:r>
              <w:rPr>
                <w:rFonts w:hint="eastAsia"/>
                <w:b/>
                <w:bCs/>
                <w:szCs w:val="24"/>
              </w:rPr>
              <w:t>类别</w:t>
            </w:r>
          </w:p>
        </w:tc>
        <w:tc>
          <w:tcPr>
            <w:tcW w:w="1190" w:type="dxa"/>
            <w:shd w:val="clear" w:color="auto" w:fill="CCCCCC"/>
            <w:vAlign w:val="center"/>
          </w:tcPr>
          <w:p>
            <w:pPr>
              <w:jc w:val="center"/>
              <w:rPr>
                <w:b/>
                <w:bCs/>
                <w:szCs w:val="24"/>
              </w:rPr>
            </w:pPr>
            <w:r>
              <w:rPr>
                <w:rFonts w:hint="eastAsia"/>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 w:type="dxa"/>
            <w:vAlign w:val="center"/>
          </w:tcPr>
          <w:p>
            <w:pPr>
              <w:jc w:val="center"/>
            </w:pPr>
            <w:r>
              <w:rPr>
                <w:rFonts w:hint="eastAsia"/>
              </w:rPr>
              <w:t>1</w:t>
            </w:r>
          </w:p>
        </w:tc>
        <w:tc>
          <w:tcPr>
            <w:tcW w:w="1942" w:type="dxa"/>
            <w:vAlign w:val="center"/>
          </w:tcPr>
          <w:p>
            <w:pPr>
              <w:pStyle w:val="11"/>
              <w:widowControl/>
              <w:spacing w:line="380" w:lineRule="atLeast"/>
              <w:jc w:val="center"/>
              <w:rPr>
                <w:sz w:val="21"/>
              </w:rPr>
            </w:pPr>
            <w:r>
              <w:rPr>
                <w:rFonts w:hint="eastAsia"/>
                <w:sz w:val="21"/>
              </w:rPr>
              <w:t>运动心肺功能测试系统</w:t>
            </w:r>
          </w:p>
          <w:p>
            <w:pPr>
              <w:jc w:val="center"/>
            </w:pPr>
          </w:p>
        </w:tc>
        <w:tc>
          <w:tcPr>
            <w:tcW w:w="4264" w:type="dxa"/>
          </w:tcPr>
          <w:p>
            <w:r>
              <w:rPr>
                <w:rFonts w:hint="eastAsia"/>
              </w:rPr>
              <w:t xml:space="preserve">1.流量传感器条件： </w:t>
            </w:r>
          </w:p>
          <w:p>
            <w:r>
              <w:rPr>
                <w:rFonts w:hint="eastAsia"/>
              </w:rPr>
              <w:t>1)双向数字式流量传感器，3L定标筒定标</w:t>
            </w:r>
          </w:p>
          <w:p>
            <w:r>
              <w:rPr>
                <w:rFonts w:hint="eastAsia"/>
              </w:rPr>
              <w:t>2)有效流量范围为0.05-20L/秒</w:t>
            </w:r>
          </w:p>
          <w:p>
            <w:r>
              <w:rPr>
                <w:rFonts w:hint="eastAsia"/>
              </w:rPr>
              <w:t>3)最大流量不低于300L</w:t>
            </w:r>
          </w:p>
          <w:p>
            <w:r>
              <w:rPr>
                <w:rFonts w:hint="eastAsia"/>
              </w:rPr>
              <w:t>4)误差≤2%</w:t>
            </w:r>
          </w:p>
          <w:p>
            <w:r>
              <w:rPr>
                <w:rFonts w:hint="eastAsia"/>
              </w:rPr>
              <w:t>5)16L/ s时呼吸阻力0.1kPA/L/s</w:t>
            </w:r>
          </w:p>
          <w:p>
            <w:r>
              <w:rPr>
                <w:rFonts w:hint="eastAsia"/>
              </w:rPr>
              <w:t xml:space="preserve">2.氧传感器（O2）条件： </w:t>
            </w:r>
          </w:p>
          <w:p>
            <w:r>
              <w:rPr>
                <w:rFonts w:hint="eastAsia"/>
              </w:rPr>
              <w:t>1)类型：电化学传感器，使用寿命不低于18个月</w:t>
            </w:r>
          </w:p>
          <w:p>
            <w:r>
              <w:rPr>
                <w:rFonts w:hint="eastAsia"/>
              </w:rPr>
              <w:t>2)测量范围：0- 60%氧</w:t>
            </w:r>
          </w:p>
          <w:p>
            <w:r>
              <w:rPr>
                <w:rFonts w:hint="eastAsia"/>
              </w:rPr>
              <w:t>3)反应时间T90＜100 毫秒</w:t>
            </w:r>
          </w:p>
          <w:p>
            <w:r>
              <w:rPr>
                <w:rFonts w:hint="eastAsia"/>
              </w:rPr>
              <w:t>4)误差：0.1 流量%</w:t>
            </w:r>
          </w:p>
          <w:p>
            <w:r>
              <w:rPr>
                <w:rFonts w:hint="eastAsia"/>
              </w:rPr>
              <w:t>3.二氧化碳传感器(CO2)条件：</w:t>
            </w:r>
          </w:p>
          <w:p>
            <w:r>
              <w:rPr>
                <w:rFonts w:hint="eastAsia"/>
              </w:rPr>
              <w:t>1)类型：ND 红外线</w:t>
            </w:r>
          </w:p>
          <w:p>
            <w:r>
              <w:rPr>
                <w:rFonts w:hint="eastAsia"/>
              </w:rPr>
              <w:t>2)测量范围：0-13%二氧化碳</w:t>
            </w:r>
          </w:p>
          <w:p>
            <w:r>
              <w:rPr>
                <w:rFonts w:hint="eastAsia"/>
              </w:rPr>
              <w:t>3)反应时间T90＜100毫秒</w:t>
            </w:r>
          </w:p>
          <w:p>
            <w:r>
              <w:rPr>
                <w:rFonts w:hint="eastAsia"/>
              </w:rPr>
              <w:t>4)误差：0.1流量%</w:t>
            </w:r>
          </w:p>
          <w:p>
            <w:r>
              <w:rPr>
                <w:rFonts w:hint="eastAsia"/>
              </w:rPr>
              <w:t>4.心率来源：Polar心率遥测仪</w:t>
            </w:r>
          </w:p>
          <w:p>
            <w:r>
              <w:rPr>
                <w:rFonts w:hint="eastAsia"/>
              </w:rPr>
              <w:t>主机和分析软件1套，软件密钥1个，流量传感器1套，气体采样线1根，面罩和头带1套，Polar心率带和接收器1套，数据线1根，电源线1根，仪器箱1个，标准校准器1套，台车1台。</w:t>
            </w:r>
          </w:p>
          <w:p>
            <w:r>
              <w:rPr>
                <w:rFonts w:hint="eastAsia"/>
              </w:rPr>
              <w:t>测量参数应至少包括：</w:t>
            </w:r>
          </w:p>
          <w:p>
            <w:r>
              <w:rPr>
                <w:rFonts w:hint="eastAsia"/>
              </w:rPr>
              <w:t>1)FIO2、FEO2 ：吸气/呼气氧浓度百分比</w:t>
            </w:r>
          </w:p>
          <w:p>
            <w:r>
              <w:rPr>
                <w:rFonts w:hint="eastAsia"/>
              </w:rPr>
              <w:t>2)FICO2、FECO2：吸气/呼气二氧化碳浓度百分比</w:t>
            </w:r>
          </w:p>
          <w:p>
            <w:r>
              <w:rPr>
                <w:rFonts w:hint="eastAsia"/>
              </w:rPr>
              <w:t>3)VO2  BTPS：BTPS摄氧量；VCO2  BTPS：BTPS二氧化碳排出量VO2  STPD：STPD摄氧量；VCO2  STPD：STPD二氧化碳排出量</w:t>
            </w:r>
          </w:p>
          <w:p>
            <w:r>
              <w:rPr>
                <w:rFonts w:hint="eastAsia"/>
              </w:rPr>
              <w:t>4)VO2/kg：每公斤体重摄氧量；VCO2/ kg：每公斤体重二氧化碳排出量</w:t>
            </w:r>
          </w:p>
          <w:p>
            <w:r>
              <w:rPr>
                <w:rFonts w:hint="eastAsia"/>
              </w:rPr>
              <w:t>5)VO2Max：最大摄氧量；AT：无氧阈；VO2/HR：氧脉搏；METS：代谢当量</w:t>
            </w:r>
          </w:p>
          <w:p>
            <w:r>
              <w:rPr>
                <w:rFonts w:hint="eastAsia"/>
              </w:rPr>
              <w:t>6)RER：呼吸交换率VCO2/VO2； VO2/HRMax：最大氧脉搏；VO2/WR：氧负荷；O2kinetics：氧亏/氧债；BF：呼吸频率</w:t>
            </w:r>
          </w:p>
          <w:p>
            <w:r>
              <w:rPr>
                <w:rFonts w:hint="eastAsia"/>
              </w:rPr>
              <w:t>7)VT ATPS：ATPS潮气量；VT BTPS：BTPS潮气量；VT STPD：STPD潮气量；VE ATPS：ATPS每分通气量；VE BTPS：BTPS每分通气量；VE STPD：STPD每分通气量</w:t>
            </w:r>
          </w:p>
          <w:p>
            <w:r>
              <w:rPr>
                <w:rFonts w:hint="eastAsia"/>
              </w:rPr>
              <w:t>8)VE/VO2：氧通气当量；VE/VCO2：二氧化碳通气当量；PETO2：潮气末端氧压；PETCO2：潮气末端二氧化碳压；PACO2：动脉CO2 压力。</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r>
              <w:rPr>
                <w:rFonts w:hint="eastAsia"/>
                <w:b/>
                <w:bCs/>
                <w:szCs w:val="24"/>
              </w:rPr>
              <w:t>核心</w:t>
            </w:r>
          </w:p>
          <w:p>
            <w:pPr>
              <w:spacing w:line="240" w:lineRule="exact"/>
              <w:jc w:val="center"/>
              <w:rPr>
                <w:b/>
                <w:bCs/>
                <w:szCs w:val="24"/>
              </w:rPr>
            </w:pPr>
            <w:r>
              <w:rPr>
                <w:rFonts w:hint="eastAsia"/>
                <w:b/>
                <w:bCs/>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2</w:t>
            </w:r>
          </w:p>
        </w:tc>
        <w:tc>
          <w:tcPr>
            <w:tcW w:w="1942" w:type="dxa"/>
            <w:vAlign w:val="center"/>
          </w:tcPr>
          <w:p>
            <w:pPr>
              <w:jc w:val="center"/>
            </w:pPr>
            <w:r>
              <w:rPr>
                <w:rFonts w:hint="eastAsia"/>
              </w:rPr>
              <w:t>8通道表面肌电仪</w:t>
            </w:r>
          </w:p>
        </w:tc>
        <w:tc>
          <w:tcPr>
            <w:tcW w:w="4264" w:type="dxa"/>
          </w:tcPr>
          <w:p>
            <w:r>
              <w:rPr>
                <w:rFonts w:hint="eastAsia"/>
              </w:rPr>
              <w:t>①表面肌电图仪；②工作台车；③表面肌电图数据处理分析计算机；④表面肌电图分析系统软件等</w:t>
            </w:r>
          </w:p>
        </w:tc>
        <w:tc>
          <w:tcPr>
            <w:tcW w:w="863" w:type="dxa"/>
            <w:vAlign w:val="center"/>
          </w:tcPr>
          <w:p>
            <w:pPr>
              <w:jc w:val="center"/>
            </w:pPr>
            <w:r>
              <w:rPr>
                <w:rFonts w:hint="eastAsia"/>
              </w:rPr>
              <w:t>1</w:t>
            </w:r>
          </w:p>
        </w:tc>
        <w:tc>
          <w:tcPr>
            <w:tcW w:w="1089" w:type="dxa"/>
            <w:vAlign w:val="center"/>
          </w:tcPr>
          <w:p>
            <w:pPr>
              <w:jc w:val="center"/>
              <w:rPr>
                <w:color w:val="FF0000"/>
              </w:rPr>
            </w:pPr>
            <w:r>
              <w:rPr>
                <w:rFonts w:hint="eastAsia"/>
              </w:rPr>
              <w:t>货物</w:t>
            </w:r>
          </w:p>
        </w:tc>
        <w:tc>
          <w:tcPr>
            <w:tcW w:w="1190" w:type="dxa"/>
            <w:vAlign w:val="center"/>
          </w:tcPr>
          <w:p>
            <w:pPr>
              <w:spacing w:line="240" w:lineRule="exact"/>
              <w:jc w:val="center"/>
              <w:rPr>
                <w:b/>
                <w:bCs/>
                <w:szCs w:val="24"/>
              </w:rPr>
            </w:pPr>
            <w:r>
              <w:rPr>
                <w:rFonts w:hint="eastAsia"/>
                <w:b/>
                <w:bCs/>
                <w:szCs w:val="24"/>
              </w:rPr>
              <w:t>核心</w:t>
            </w:r>
          </w:p>
          <w:p>
            <w:pPr>
              <w:spacing w:line="240" w:lineRule="exact"/>
              <w:jc w:val="center"/>
              <w:rPr>
                <w:b/>
                <w:bCs/>
                <w:szCs w:val="24"/>
              </w:rPr>
            </w:pPr>
            <w:r>
              <w:rPr>
                <w:rFonts w:hint="eastAsia"/>
                <w:b/>
                <w:bCs/>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0" w:hRule="atLeast"/>
          <w:jc w:val="center"/>
        </w:trPr>
        <w:tc>
          <w:tcPr>
            <w:tcW w:w="572" w:type="dxa"/>
            <w:vAlign w:val="center"/>
          </w:tcPr>
          <w:p>
            <w:pPr>
              <w:jc w:val="center"/>
            </w:pPr>
            <w:r>
              <w:rPr>
                <w:rFonts w:hint="eastAsia"/>
              </w:rPr>
              <w:t>3</w:t>
            </w:r>
          </w:p>
        </w:tc>
        <w:tc>
          <w:tcPr>
            <w:tcW w:w="1942" w:type="dxa"/>
            <w:vAlign w:val="center"/>
          </w:tcPr>
          <w:p>
            <w:pPr>
              <w:jc w:val="center"/>
            </w:pPr>
            <w:r>
              <w:rPr>
                <w:rFonts w:hint="eastAsia"/>
              </w:rPr>
              <w:t>悬吊康复训练器</w:t>
            </w:r>
          </w:p>
        </w:tc>
        <w:tc>
          <w:tcPr>
            <w:tcW w:w="4264" w:type="dxa"/>
          </w:tcPr>
          <w:p>
            <w:r>
              <w:rPr>
                <w:rFonts w:hint="eastAsia"/>
              </w:rPr>
              <w:t>1. 适用范围：用于对骨骼肌肉疼痛、神经肌肉机能障碍、关节功能障碍患者进行康复训练</w:t>
            </w:r>
          </w:p>
          <w:p>
            <w:r>
              <w:rPr>
                <w:rFonts w:hint="eastAsia"/>
              </w:rPr>
              <w:t>2. 性能参数：</w:t>
            </w:r>
          </w:p>
          <w:p>
            <w:r>
              <w:rPr>
                <w:rFonts w:hint="eastAsia"/>
              </w:rPr>
              <w:t>轨道：</w:t>
            </w:r>
          </w:p>
          <w:p>
            <w:r>
              <w:rPr>
                <w:rFonts w:hint="eastAsia"/>
              </w:rPr>
              <w:t xml:space="preserve">2.1 单轨设计，方便移动和调节；单条轨道长度至少2.5m，误差±5% </w:t>
            </w:r>
          </w:p>
          <w:p>
            <w:r>
              <w:rPr>
                <w:rFonts w:hint="eastAsia"/>
              </w:rPr>
              <w:t>2.2 轨道单点承重不小于200kg；</w:t>
            </w:r>
          </w:p>
          <w:p>
            <w:r>
              <w:rPr>
                <w:rFonts w:hint="eastAsia"/>
              </w:rPr>
              <w:t>落地架：</w:t>
            </w:r>
          </w:p>
          <w:p>
            <w:r>
              <w:rPr>
                <w:rFonts w:hint="eastAsia"/>
              </w:rPr>
              <w:t>2.3 落地架最大承重200kg；</w:t>
            </w:r>
          </w:p>
          <w:p>
            <w:r>
              <w:rPr>
                <w:rFonts w:hint="eastAsia"/>
              </w:rPr>
              <w:t xml:space="preserve">2.4 落地架在空载和最大承重下，在任意方向10度的角度不应发生失衡。 </w:t>
            </w:r>
          </w:p>
          <w:p>
            <w:r>
              <w:rPr>
                <w:rFonts w:hint="eastAsia"/>
              </w:rPr>
              <w:t>2.5 落地架设有挂钩，可以挂放全部的相关配件，方便使用，不需要别外在墙上安装挂钩。</w:t>
            </w:r>
          </w:p>
          <w:p>
            <w:r>
              <w:rPr>
                <w:rFonts w:hint="eastAsia"/>
              </w:rPr>
              <w:t>2.6 落地架设有专门的挂孔，用于挂放滑轮组件，不需要挂放在悬挂件上，节省挂点，使用更加人性化。</w:t>
            </w:r>
          </w:p>
          <w:p>
            <w:r>
              <w:rPr>
                <w:rFonts w:hint="eastAsia"/>
              </w:rPr>
              <w:t>2.7 落地架为可组装式的结构，方便安装，产品维护方便。</w:t>
            </w:r>
          </w:p>
          <w:p>
            <w:r>
              <w:rPr>
                <w:rFonts w:hint="eastAsia"/>
              </w:rPr>
              <w:t>悬挂件：</w:t>
            </w:r>
          </w:p>
          <w:p>
            <w:r>
              <w:rPr>
                <w:rFonts w:hint="eastAsia"/>
              </w:rPr>
              <w:t>2.8 悬挂件单边承重不小于100kg；</w:t>
            </w:r>
          </w:p>
          <w:p>
            <w:r>
              <w:rPr>
                <w:rFonts w:hint="eastAsia"/>
              </w:rPr>
              <w:t>2.9 配备稳定的滑动锁定解锁装置，滑动件任意调节；</w:t>
            </w:r>
          </w:p>
          <w:p>
            <w:r>
              <w:rPr>
                <w:rFonts w:hint="eastAsia"/>
              </w:rPr>
              <w:t>2.10 至少配备三个悬挂件，满足临床治疗需求；</w:t>
            </w:r>
          </w:p>
          <w:p>
            <w:r>
              <w:rPr>
                <w:rFonts w:hint="eastAsia"/>
              </w:rPr>
              <w:t>滑动件自由锁定：</w:t>
            </w:r>
          </w:p>
          <w:p>
            <w:r>
              <w:rPr>
                <w:rFonts w:hint="eastAsia"/>
              </w:rPr>
              <w:t>2.11 悬吊单轨道设计独特的锁定装置——下垂绳索拉拽式锁定解锁装置，轻拉垂绳便可打开、关闭锁定锁定装置；</w:t>
            </w:r>
          </w:p>
          <w:p>
            <w:r>
              <w:rPr>
                <w:rFonts w:hint="eastAsia"/>
              </w:rPr>
              <w:t>配件：</w:t>
            </w:r>
          </w:p>
          <w:p>
            <w:r>
              <w:rPr>
                <w:rFonts w:hint="eastAsia"/>
              </w:rPr>
              <w:t>2.12 配备50kg强力弹性绳和50kg弱性弹力绳，合理减重支撑；强力弹性绳长度不小于450mm；弱性弹力绳长度不小于450mm和600mm；</w:t>
            </w:r>
          </w:p>
          <w:p>
            <w:r>
              <w:rPr>
                <w:rFonts w:hint="eastAsia"/>
              </w:rPr>
              <w:t xml:space="preserve">2.13 配备宽带、窄带、中分带、握带、握具等多种治疗配件，满足各种悬吊治疗； </w:t>
            </w:r>
          </w:p>
          <w:p>
            <w:r>
              <w:rPr>
                <w:rFonts w:hint="eastAsia"/>
              </w:rPr>
              <w:t>2.14 宽带、窄带等配件采用防滑设计，给予患者支撑更为稳定；</w:t>
            </w:r>
          </w:p>
          <w:p>
            <w:r>
              <w:rPr>
                <w:rFonts w:hint="eastAsia"/>
              </w:rPr>
              <w:t>2.15 悬吊悬挂件两段绳长一体化调节，节省调节时间；</w:t>
            </w:r>
          </w:p>
          <w:p>
            <w:r>
              <w:rPr>
                <w:rFonts w:hint="eastAsia"/>
              </w:rPr>
              <w:t>2.16 配备全套操作系统，提高临床实用性。</w:t>
            </w:r>
          </w:p>
        </w:tc>
        <w:tc>
          <w:tcPr>
            <w:tcW w:w="863" w:type="dxa"/>
            <w:vAlign w:val="center"/>
          </w:tcPr>
          <w:p>
            <w:pPr>
              <w:jc w:val="center"/>
            </w:pPr>
            <w:r>
              <w:rPr>
                <w:rFonts w:hint="eastAsia"/>
              </w:rPr>
              <w:t>1</w:t>
            </w:r>
          </w:p>
        </w:tc>
        <w:tc>
          <w:tcPr>
            <w:tcW w:w="1089" w:type="dxa"/>
            <w:vAlign w:val="center"/>
          </w:tcPr>
          <w:p>
            <w:pPr>
              <w:jc w:val="center"/>
              <w:rPr>
                <w:color w:val="FF0000"/>
              </w:rPr>
            </w:pPr>
            <w:r>
              <w:rPr>
                <w:rFonts w:hint="eastAsia"/>
              </w:rPr>
              <w:t>货物</w:t>
            </w:r>
          </w:p>
        </w:tc>
        <w:tc>
          <w:tcPr>
            <w:tcW w:w="1190" w:type="dxa"/>
            <w:vAlign w:val="center"/>
          </w:tcPr>
          <w:p>
            <w:pPr>
              <w:spacing w:line="240" w:lineRule="exact"/>
              <w:jc w:val="center"/>
              <w:rPr>
                <w:b/>
                <w:bCs/>
                <w:szCs w:val="24"/>
              </w:rPr>
            </w:pPr>
            <w:r>
              <w:rPr>
                <w:rFonts w:hint="eastAsia"/>
                <w:b/>
                <w:bCs/>
                <w:szCs w:val="24"/>
              </w:rPr>
              <w:t>核心</w:t>
            </w:r>
          </w:p>
          <w:p>
            <w:pPr>
              <w:spacing w:line="240" w:lineRule="exact"/>
              <w:jc w:val="center"/>
              <w:rPr>
                <w:b/>
                <w:bCs/>
                <w:szCs w:val="24"/>
              </w:rPr>
            </w:pPr>
            <w:r>
              <w:rPr>
                <w:rFonts w:hint="eastAsia"/>
                <w:b/>
                <w:bCs/>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572" w:type="dxa"/>
            <w:vAlign w:val="center"/>
          </w:tcPr>
          <w:p>
            <w:pPr>
              <w:jc w:val="center"/>
            </w:pPr>
            <w:r>
              <w:rPr>
                <w:rFonts w:hint="eastAsia"/>
              </w:rPr>
              <w:t>4</w:t>
            </w:r>
          </w:p>
        </w:tc>
        <w:tc>
          <w:tcPr>
            <w:tcW w:w="1942" w:type="dxa"/>
            <w:vAlign w:val="center"/>
          </w:tcPr>
          <w:p>
            <w:pPr>
              <w:jc w:val="center"/>
            </w:pPr>
            <w:r>
              <w:rPr>
                <w:rFonts w:hint="eastAsia"/>
              </w:rPr>
              <w:t>平衡仪</w:t>
            </w:r>
          </w:p>
        </w:tc>
        <w:tc>
          <w:tcPr>
            <w:tcW w:w="4264" w:type="dxa"/>
          </w:tcPr>
          <w:p>
            <w:r>
              <w:rPr>
                <w:rFonts w:hint="eastAsia"/>
              </w:rPr>
              <w:t>可以进行静态或和动态两种形式的测试和训练。在不同等级的平衡板上对患者双侧和单侧下肢进行动、静态平衡能力的定量测试，评估神经肌肉控制能力。平衡系统可以测试身体重心在各个方向的位移及人体的平衡能力。将测试结果和参考数据对比，并以此为依据制定康复计划。</w:t>
            </w:r>
          </w:p>
        </w:tc>
        <w:tc>
          <w:tcPr>
            <w:tcW w:w="863" w:type="dxa"/>
            <w:vAlign w:val="center"/>
          </w:tcPr>
          <w:p>
            <w:pPr>
              <w:jc w:val="center"/>
            </w:pPr>
            <w:r>
              <w:rPr>
                <w:rFonts w:hint="eastAsia"/>
              </w:rPr>
              <w:t>1</w:t>
            </w:r>
          </w:p>
        </w:tc>
        <w:tc>
          <w:tcPr>
            <w:tcW w:w="1089" w:type="dxa"/>
            <w:vAlign w:val="center"/>
          </w:tcPr>
          <w:p>
            <w:pPr>
              <w:jc w:val="center"/>
              <w:rPr>
                <w:color w:val="FF0000"/>
              </w:rP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572" w:type="dxa"/>
            <w:vAlign w:val="center"/>
          </w:tcPr>
          <w:p>
            <w:pPr>
              <w:jc w:val="center"/>
            </w:pPr>
            <w:r>
              <w:rPr>
                <w:rFonts w:hint="eastAsia"/>
              </w:rPr>
              <w:t>5</w:t>
            </w:r>
          </w:p>
        </w:tc>
        <w:tc>
          <w:tcPr>
            <w:tcW w:w="1942" w:type="dxa"/>
            <w:vAlign w:val="center"/>
          </w:tcPr>
          <w:p>
            <w:pPr>
              <w:jc w:val="center"/>
            </w:pPr>
            <w:r>
              <w:rPr>
                <w:rFonts w:hint="eastAsia"/>
              </w:rPr>
              <w:t>超声骨密度测试仪</w:t>
            </w:r>
          </w:p>
        </w:tc>
        <w:tc>
          <w:tcPr>
            <w:tcW w:w="4264" w:type="dxa"/>
          </w:tcPr>
          <w:p>
            <w:r>
              <w:rPr>
                <w:rFonts w:hint="eastAsia"/>
              </w:rPr>
              <w:t xml:space="preserve">1、超声波参数：BUA（宽带超声衰减） </w:t>
            </w:r>
          </w:p>
          <w:p>
            <w:r>
              <w:rPr>
                <w:rFonts w:hint="eastAsia"/>
              </w:rPr>
              <w:t xml:space="preserve">SOS（超声声速） </w:t>
            </w:r>
          </w:p>
          <w:p>
            <w:r>
              <w:rPr>
                <w:rFonts w:hint="eastAsia"/>
              </w:rPr>
              <w:t>OI（骨质疏松指数）</w:t>
            </w:r>
          </w:p>
          <w:p>
            <w:r>
              <w:rPr>
                <w:rFonts w:hint="eastAsia"/>
              </w:rPr>
              <w:t>2、测量方式： 全干式、双向超声波发射与接收</w:t>
            </w:r>
          </w:p>
          <w:p>
            <w:r>
              <w:rPr>
                <w:rFonts w:hint="eastAsia"/>
              </w:rPr>
              <w:t>3、探头频率： 0.5MHz±5%</w:t>
            </w:r>
          </w:p>
          <w:p>
            <w:r>
              <w:rPr>
                <w:rFonts w:hint="eastAsia"/>
              </w:rPr>
              <w:t>4、-6db时宽带；＞60%</w:t>
            </w:r>
          </w:p>
          <w:p>
            <w:r>
              <w:rPr>
                <w:rFonts w:hint="eastAsia"/>
              </w:rPr>
              <w:t xml:space="preserve">5、测量时间： ≤25秒 </w:t>
            </w:r>
          </w:p>
          <w:p>
            <w:r>
              <w:rPr>
                <w:rFonts w:hint="eastAsia"/>
              </w:rPr>
              <w:t xml:space="preserve">6、测试重复性OPR;≤±1% </w:t>
            </w:r>
          </w:p>
          <w:p>
            <w:r>
              <w:rPr>
                <w:rFonts w:hint="eastAsia"/>
              </w:rPr>
              <w:t>7、测量精度： SOS ≤±2%</w:t>
            </w:r>
          </w:p>
          <w:p>
            <w:r>
              <w:rPr>
                <w:rFonts w:hint="eastAsia"/>
              </w:rPr>
              <w:t>8. 测试重复性;BUA≤±5%</w:t>
            </w:r>
          </w:p>
          <w:p>
            <w:r>
              <w:rPr>
                <w:rFonts w:hint="eastAsia"/>
              </w:rPr>
              <w:t xml:space="preserve">9、诊断参数： BUA. OI值、T值、Z值、SOS，OPR , 成人比，同龄比，肥胖度指数，身高预测，体质指数、儿童Z值图表。                       </w:t>
            </w:r>
          </w:p>
          <w:p>
            <w:r>
              <w:rPr>
                <w:rFonts w:hint="eastAsia"/>
              </w:rPr>
              <w:t>10、超声波输出TIS： 2.8*10 -3mW/cm2</w:t>
            </w:r>
          </w:p>
          <w:p>
            <w:r>
              <w:rPr>
                <w:rFonts w:hint="eastAsia"/>
              </w:rPr>
              <w:t>11、定标（校正）：人体仿真模块自动定标</w:t>
            </w:r>
          </w:p>
          <w:p>
            <w:r>
              <w:rPr>
                <w:rFonts w:hint="eastAsia"/>
              </w:rPr>
              <w:t>12、温度补偿系统： 自动补偿温度所造成的测量偏差</w:t>
            </w:r>
          </w:p>
          <w:p>
            <w:r>
              <w:rPr>
                <w:rFonts w:hint="eastAsia"/>
              </w:rPr>
              <w:t>13、内置参考数据库： 亚洲人，欧洲，中东人及非洲人数据库</w:t>
            </w:r>
          </w:p>
          <w:p>
            <w:r>
              <w:rPr>
                <w:rFonts w:hint="eastAsia"/>
              </w:rPr>
              <w:t>14. 标准双USB接口输出，外接平板电脑，笔记本，台式机电脑使用，可外接不同型号打印机输出报告。</w:t>
            </w:r>
          </w:p>
          <w:p>
            <w:r>
              <w:rPr>
                <w:rFonts w:hint="eastAsia"/>
              </w:rPr>
              <w:t>15；可外接直流电源+9V或+12V输入使用，成人儿童双护腿板更换。</w:t>
            </w:r>
          </w:p>
          <w:p>
            <w:r>
              <w:rPr>
                <w:rFonts w:hint="eastAsia"/>
              </w:rPr>
              <w:t>16； 诊断报告输出；测试数据自动诊断，内置打印报告输出。可在诊断报告中输入诊断信息，也外接打印机输出报告，软件支持发送PACS网络系统。</w:t>
            </w:r>
          </w:p>
          <w:p>
            <w:r>
              <w:rPr>
                <w:rFonts w:hint="eastAsia"/>
              </w:rPr>
              <w:t>17、测量部位及探头间距： 自动调整探头测量间距与足跟部直接接触。</w:t>
            </w:r>
          </w:p>
          <w:p>
            <w:r>
              <w:rPr>
                <w:rFonts w:hint="eastAsia"/>
              </w:rPr>
              <w:t>18、骨密度软件测试系统； 儿童（建议三周岁以上儿童使用）及成人骨密度测试软件，自动定位超声探头，自动搜索最佳信号。自动提示测试部位放置是否正确。</w:t>
            </w:r>
          </w:p>
          <w:p>
            <w:r>
              <w:rPr>
                <w:rFonts w:hint="eastAsia"/>
              </w:rPr>
              <w:t>19. 探 头；油囊探头，在产品寿命期内不需更换，可永久使用。</w:t>
            </w:r>
          </w:p>
          <w:p>
            <w:r>
              <w:rPr>
                <w:rFonts w:hint="eastAsia"/>
              </w:rPr>
              <w:t>20；语言切换；中文 英文界面设置可选。</w:t>
            </w:r>
          </w:p>
          <w:p>
            <w:r>
              <w:rPr>
                <w:rFonts w:hint="eastAsia"/>
              </w:rPr>
              <w:t>21、操作湿度（非冷凝）： 30-70% 相对湿度，0-80%非冷凝。操作温度： 10-40℃</w:t>
            </w:r>
          </w:p>
          <w:p>
            <w:r>
              <w:rPr>
                <w:rFonts w:hint="eastAsia"/>
              </w:rPr>
              <w:t>22、电源要求： AC220V±10% 50Hz，3.15A  125W</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9" w:hRule="atLeast"/>
          <w:jc w:val="center"/>
        </w:trPr>
        <w:tc>
          <w:tcPr>
            <w:tcW w:w="572" w:type="dxa"/>
            <w:vAlign w:val="center"/>
          </w:tcPr>
          <w:p>
            <w:pPr>
              <w:jc w:val="center"/>
            </w:pPr>
            <w:r>
              <w:rPr>
                <w:rFonts w:hint="eastAsia"/>
              </w:rPr>
              <w:t>6</w:t>
            </w:r>
          </w:p>
        </w:tc>
        <w:tc>
          <w:tcPr>
            <w:tcW w:w="1942" w:type="dxa"/>
            <w:vAlign w:val="center"/>
          </w:tcPr>
          <w:p>
            <w:pPr>
              <w:jc w:val="center"/>
            </w:pPr>
            <w:r>
              <w:rPr>
                <w:rFonts w:hint="eastAsia"/>
              </w:rPr>
              <w:t>言语评定系统</w:t>
            </w:r>
          </w:p>
        </w:tc>
        <w:tc>
          <w:tcPr>
            <w:tcW w:w="4264" w:type="dxa"/>
          </w:tcPr>
          <w:p>
            <w:r>
              <w:rPr>
                <w:rFonts w:hint="eastAsia"/>
              </w:rPr>
              <w:t>1.汉语失语症心理语言评价与治疗系统总体功能</w:t>
            </w:r>
          </w:p>
          <w:p>
            <w:r>
              <w:rPr>
                <w:rFonts w:hint="eastAsia"/>
              </w:rPr>
              <w:t>1.1.根据汉语语言加工理论编制，包括汉语失语症心理语言评价、治疗两大部分。</w:t>
            </w:r>
          </w:p>
          <w:p>
            <w:r>
              <w:rPr>
                <w:rFonts w:hint="eastAsia"/>
              </w:rPr>
              <w:t>1.2.至少70种评价方法、至少60种治疗方法。</w:t>
            </w:r>
          </w:p>
          <w:p>
            <w:r>
              <w:rPr>
                <w:rFonts w:hint="eastAsia"/>
              </w:rPr>
              <w:t>1.3.采用形象直观的流程图进行导航，便于治疗师快速选择评价与治疗方法。</w:t>
            </w:r>
          </w:p>
          <w:p>
            <w:r>
              <w:rPr>
                <w:rFonts w:hint="eastAsia"/>
              </w:rPr>
              <w:t>1.4.采用独立模块式设计的评价与治疗方法，针对性强、易于扩充、操作简便、人机界面友好。</w:t>
            </w:r>
          </w:p>
          <w:p>
            <w:r>
              <w:rPr>
                <w:rFonts w:hint="eastAsia"/>
              </w:rPr>
              <w:t>1.5.评价与治疗结合紧密：治疗师通过评价系统评估患者的受损情况，确定障碍产生的原因，再通过治疗系统进行针对性治疗。</w:t>
            </w:r>
          </w:p>
          <w:p>
            <w:r>
              <w:rPr>
                <w:rFonts w:hint="eastAsia"/>
              </w:rPr>
              <w:t>1.6.评价与治疗可全程录音、录像，支持多种统计工具的数据分析。</w:t>
            </w:r>
          </w:p>
          <w:p>
            <w:r>
              <w:rPr>
                <w:rFonts w:hint="eastAsia"/>
              </w:rPr>
              <w:t>1.7.评价及治疗素材内容丰富，近万张图片、数十小时录制的专业播音员语音。</w:t>
            </w:r>
          </w:p>
          <w:p>
            <w:r>
              <w:rPr>
                <w:rFonts w:hint="eastAsia"/>
              </w:rPr>
              <w:t>1.8.帮助文档内容翔实，操作简便，提供有每个测验模块的设计思路。</w:t>
            </w:r>
          </w:p>
          <w:p>
            <w:r>
              <w:rPr>
                <w:rFonts w:hint="eastAsia"/>
              </w:rPr>
              <w:t>2.汉语失语症心理语言评价功能</w:t>
            </w:r>
          </w:p>
          <w:p>
            <w:r>
              <w:rPr>
                <w:rFonts w:hint="eastAsia"/>
              </w:rPr>
              <w:t>2.1.70种独立的评价方法供选择：</w:t>
            </w:r>
          </w:p>
          <w:p>
            <w:r>
              <w:rPr>
                <w:rFonts w:hint="eastAsia"/>
              </w:rPr>
              <w:t>2.1.1.包括名词、动词、句子理解与产生的检查系统；</w:t>
            </w:r>
          </w:p>
          <w:p>
            <w:r>
              <w:rPr>
                <w:rFonts w:hint="eastAsia"/>
              </w:rPr>
              <w:t>2.1.2.包括听理解模块、看图命名模块、阅读朗读模块、复述模块、书写模块）等多方面的检查；</w:t>
            </w:r>
          </w:p>
          <w:p>
            <w:r>
              <w:rPr>
                <w:rFonts w:hint="eastAsia"/>
              </w:rPr>
              <w:t>2.1.3.包含听理解、阅读理解、命名等动词检查；</w:t>
            </w:r>
          </w:p>
          <w:p>
            <w:r>
              <w:rPr>
                <w:rFonts w:hint="eastAsia"/>
              </w:rPr>
              <w:t>2.1.4.包含功能水平、位置水平、语段产生的整合水平等方面的句子检查；</w:t>
            </w:r>
          </w:p>
          <w:p>
            <w:r>
              <w:rPr>
                <w:rFonts w:hint="eastAsia"/>
              </w:rPr>
              <w:t>2.2.对患者的言语反应可录音，并计算平均反应时；</w:t>
            </w:r>
          </w:p>
          <w:p>
            <w:r>
              <w:rPr>
                <w:rFonts w:hint="eastAsia"/>
              </w:rPr>
              <w:t>2.3.统计错语类型，分析反应错误性质；</w:t>
            </w:r>
          </w:p>
          <w:p>
            <w:r>
              <w:rPr>
                <w:rFonts w:hint="eastAsia"/>
              </w:rPr>
              <w:t>2.4.检查结果用量化方式呈现，方便统计；</w:t>
            </w:r>
          </w:p>
          <w:p>
            <w:r>
              <w:rPr>
                <w:rFonts w:hint="eastAsia"/>
              </w:rPr>
              <w:t>2.5.与汉语失语症心理语言治疗系统紧密结合，可直接进行针对性治疗；</w:t>
            </w:r>
          </w:p>
          <w:p>
            <w:r>
              <w:rPr>
                <w:rFonts w:hint="eastAsia"/>
              </w:rPr>
              <w:t>2.6.除提供汉语普通话语音外，另备有为检查者输入方言的语音输入接口。</w:t>
            </w:r>
          </w:p>
          <w:p>
            <w:r>
              <w:rPr>
                <w:rFonts w:hint="eastAsia"/>
              </w:rPr>
              <w:t>3.汉语失语症心理语言治疗功能</w:t>
            </w:r>
          </w:p>
          <w:p>
            <w:r>
              <w:rPr>
                <w:rFonts w:hint="eastAsia"/>
              </w:rPr>
              <w:t>3.1.不少于60种独立的治疗方法供选择：</w:t>
            </w:r>
          </w:p>
          <w:p>
            <w:r>
              <w:rPr>
                <w:rFonts w:hint="eastAsia"/>
              </w:rPr>
              <w:t>3.1.1.包括名词、动词、句子理解与产生的治疗系统；</w:t>
            </w:r>
          </w:p>
          <w:p>
            <w:r>
              <w:rPr>
                <w:rFonts w:hint="eastAsia"/>
              </w:rPr>
              <w:t>3.1.2.包括听模块、看模块、读模块等多方面的的治疗训练；</w:t>
            </w:r>
          </w:p>
          <w:p>
            <w:r>
              <w:rPr>
                <w:rFonts w:hint="eastAsia"/>
              </w:rPr>
              <w:t>3.1.3.包含听理解、阅读理解、命名等动词治疗；</w:t>
            </w:r>
          </w:p>
          <w:p>
            <w:r>
              <w:rPr>
                <w:rFonts w:hint="eastAsia"/>
              </w:rPr>
              <w:t>3.1.4.含功能水平、位置水平、语段产生的整合等水平的等方面的句子治疗；</w:t>
            </w:r>
          </w:p>
          <w:p>
            <w:r>
              <w:rPr>
                <w:rFonts w:hint="eastAsia"/>
              </w:rPr>
              <w:t>3.2.对患者的言语反应可录音，并计算、记录每次治疗时的平均反应时、正确率等结果；</w:t>
            </w:r>
          </w:p>
          <w:p>
            <w:r>
              <w:rPr>
                <w:rFonts w:hint="eastAsia"/>
              </w:rPr>
              <w:t>3.3.与汉语失语症心理语言评价系统紧密结合，可直接进行针对性检查；</w:t>
            </w:r>
          </w:p>
          <w:p>
            <w:r>
              <w:rPr>
                <w:rFonts w:hint="eastAsia"/>
              </w:rPr>
              <w:t>3.4.除提供汉语普通话语音外，另备有为检查者输入方言的语音输入接口。</w:t>
            </w:r>
          </w:p>
          <w:p>
            <w:r>
              <w:rPr>
                <w:rFonts w:hint="eastAsia"/>
              </w:rPr>
              <w:t>4.需提供认知评估与训练、吞咽评估与训练的相应模块；构音评估与训练的相应模块；神经康复与训练模块；营养分析模块。</w:t>
            </w:r>
          </w:p>
        </w:tc>
        <w:tc>
          <w:tcPr>
            <w:tcW w:w="863" w:type="dxa"/>
            <w:vAlign w:val="center"/>
          </w:tcPr>
          <w:p>
            <w:pPr>
              <w:jc w:val="center"/>
            </w:pPr>
            <w:r>
              <w:rPr>
                <w:rFonts w:hint="eastAsia"/>
              </w:rPr>
              <w:t>1</w:t>
            </w:r>
          </w:p>
        </w:tc>
        <w:tc>
          <w:tcPr>
            <w:tcW w:w="1089" w:type="dxa"/>
            <w:vAlign w:val="center"/>
          </w:tcPr>
          <w:p>
            <w:pPr>
              <w:jc w:val="center"/>
              <w:rPr>
                <w:color w:val="FF0000"/>
              </w:rP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atLeast"/>
          <w:jc w:val="center"/>
        </w:trPr>
        <w:tc>
          <w:tcPr>
            <w:tcW w:w="572" w:type="dxa"/>
            <w:vAlign w:val="center"/>
          </w:tcPr>
          <w:p>
            <w:pPr>
              <w:jc w:val="center"/>
            </w:pPr>
            <w:r>
              <w:rPr>
                <w:rFonts w:hint="eastAsia"/>
              </w:rPr>
              <w:t>7</w:t>
            </w:r>
          </w:p>
        </w:tc>
        <w:tc>
          <w:tcPr>
            <w:tcW w:w="1942" w:type="dxa"/>
            <w:vAlign w:val="center"/>
          </w:tcPr>
          <w:p>
            <w:pPr>
              <w:jc w:val="center"/>
            </w:pPr>
            <w:r>
              <w:rPr>
                <w:rFonts w:hint="eastAsia"/>
              </w:rPr>
              <w:t>功能性运动筛查套件（含光盘）</w:t>
            </w:r>
          </w:p>
        </w:tc>
        <w:tc>
          <w:tcPr>
            <w:tcW w:w="4264" w:type="dxa"/>
          </w:tcPr>
          <w:p>
            <w:r>
              <w:rPr>
                <w:rFonts w:hint="eastAsia"/>
              </w:rPr>
              <w:t>1.可用于筛查各类人群的功能性动作模式质量，包括关节的灵活性和稳定性；</w:t>
            </w:r>
          </w:p>
          <w:p>
            <w:r>
              <w:rPr>
                <w:rFonts w:hint="eastAsia"/>
              </w:rPr>
              <w:t>2.可以根据测试结果进行相应的矫正性训练，从而改善身体不平衡状态以及弱链，有效降低运动员潜在损伤风险，消除影响运动3.员竞技表现因素；</w:t>
            </w:r>
          </w:p>
          <w:p>
            <w:r>
              <w:rPr>
                <w:rFonts w:hint="eastAsia"/>
              </w:rPr>
              <w:t>3.测试项目包括：深蹲、跨栏步、弓步、肩关节灵活性、主动直腿上抬，躯干稳定性俯卧撑以及旋转稳定性</w:t>
            </w:r>
          </w:p>
          <w:p>
            <w:r>
              <w:rPr>
                <w:rFonts w:hint="eastAsia"/>
              </w:rPr>
              <w:t>配有使用指导DVD。</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5" w:hRule="atLeast"/>
          <w:jc w:val="center"/>
        </w:trPr>
        <w:tc>
          <w:tcPr>
            <w:tcW w:w="572" w:type="dxa"/>
            <w:vAlign w:val="center"/>
          </w:tcPr>
          <w:p>
            <w:pPr>
              <w:jc w:val="center"/>
            </w:pPr>
            <w:r>
              <w:rPr>
                <w:rFonts w:hint="eastAsia"/>
              </w:rPr>
              <w:t>8</w:t>
            </w:r>
          </w:p>
        </w:tc>
        <w:tc>
          <w:tcPr>
            <w:tcW w:w="1942" w:type="dxa"/>
            <w:vAlign w:val="center"/>
          </w:tcPr>
          <w:p>
            <w:pPr>
              <w:jc w:val="center"/>
            </w:pPr>
            <w:r>
              <w:rPr>
                <w:rFonts w:hint="eastAsia"/>
              </w:rPr>
              <w:t>心率遥测仪</w:t>
            </w:r>
          </w:p>
        </w:tc>
        <w:tc>
          <w:tcPr>
            <w:tcW w:w="4264" w:type="dxa"/>
          </w:tcPr>
          <w:p>
            <w:r>
              <w:rPr>
                <w:rFonts w:hint="eastAsia"/>
              </w:rPr>
              <w:t>耐水- 30米</w:t>
            </w:r>
          </w:p>
          <w:p>
            <w:r>
              <w:rPr>
                <w:rFonts w:hint="eastAsia"/>
              </w:rPr>
              <w:t>大玻璃窗口</w:t>
            </w:r>
          </w:p>
          <w:p>
            <w:r>
              <w:rPr>
                <w:rFonts w:hint="eastAsia"/>
              </w:rPr>
              <w:t>铝和不锈钢外壳</w:t>
            </w:r>
          </w:p>
          <w:p>
            <w:r>
              <w:rPr>
                <w:rFonts w:hint="eastAsia"/>
              </w:rPr>
              <w:t>高分辨率显示器</w:t>
            </w:r>
          </w:p>
          <w:p>
            <w:r>
              <w:rPr>
                <w:rFonts w:hint="eastAsia"/>
              </w:rPr>
              <w:t>振动和音频警报</w:t>
            </w:r>
          </w:p>
          <w:p>
            <w:r>
              <w:rPr>
                <w:rFonts w:hint="eastAsia"/>
              </w:rPr>
              <w:t>可更新的软件</w:t>
            </w:r>
          </w:p>
          <w:p>
            <w:r>
              <w:rPr>
                <w:rFonts w:hint="eastAsia"/>
              </w:rPr>
              <w:t>多语言显示文本</w:t>
            </w:r>
          </w:p>
          <w:p>
            <w:r>
              <w:rPr>
                <w:rFonts w:hint="eastAsia"/>
              </w:rPr>
              <w:t>通过定制的USB数据传输电缆通过极地流或蓝牙智能手机应用程序</w:t>
            </w:r>
          </w:p>
          <w:p>
            <w:r>
              <w:rPr>
                <w:rFonts w:hint="eastAsia"/>
              </w:rPr>
              <w:t>内存容量99 h训练和GPS和人力资源</w:t>
            </w:r>
          </w:p>
          <w:p>
            <w:r>
              <w:rPr>
                <w:rFonts w:hint="eastAsia"/>
              </w:rPr>
              <w:t>可充电电池达14小时训练时间,50 h在GPS低功率模式下,30天时间与日常活动监控模式</w:t>
            </w:r>
          </w:p>
          <w:p>
            <w:r>
              <w:rPr>
                <w:rFonts w:hint="eastAsia"/>
              </w:rPr>
              <w:t>极地流web服务兼容Mac OS X 10.6中,OS X 10.7,OS X 10.8或更高版本,和PC Windows XP,Windows 7,Windows 8,或更高版本。</w:t>
            </w:r>
          </w:p>
        </w:tc>
        <w:tc>
          <w:tcPr>
            <w:tcW w:w="863" w:type="dxa"/>
            <w:vAlign w:val="center"/>
          </w:tcPr>
          <w:p>
            <w:pPr>
              <w:jc w:val="center"/>
            </w:pPr>
            <w:r>
              <w:rPr>
                <w:rFonts w:hint="eastAsia"/>
              </w:rPr>
              <w:t>4</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3" w:hRule="atLeast"/>
          <w:jc w:val="center"/>
        </w:trPr>
        <w:tc>
          <w:tcPr>
            <w:tcW w:w="572" w:type="dxa"/>
            <w:vAlign w:val="center"/>
          </w:tcPr>
          <w:p>
            <w:pPr>
              <w:jc w:val="center"/>
            </w:pPr>
            <w:r>
              <w:rPr>
                <w:rFonts w:hint="eastAsia"/>
              </w:rPr>
              <w:t>9</w:t>
            </w:r>
          </w:p>
        </w:tc>
        <w:tc>
          <w:tcPr>
            <w:tcW w:w="1942" w:type="dxa"/>
            <w:vAlign w:val="center"/>
          </w:tcPr>
          <w:p>
            <w:pPr>
              <w:jc w:val="center"/>
            </w:pPr>
            <w:r>
              <w:rPr>
                <w:rFonts w:hint="eastAsia"/>
              </w:rPr>
              <w:t>深层肌肉刺激仪</w:t>
            </w:r>
          </w:p>
          <w:p>
            <w:pPr>
              <w:jc w:val="center"/>
            </w:pPr>
          </w:p>
        </w:tc>
        <w:tc>
          <w:tcPr>
            <w:tcW w:w="4264" w:type="dxa"/>
          </w:tcPr>
          <w:p>
            <w:pPr>
              <w:pStyle w:val="11"/>
              <w:widowControl/>
              <w:spacing w:line="340" w:lineRule="atLeast"/>
              <w:rPr>
                <w:sz w:val="21"/>
              </w:rPr>
            </w:pPr>
            <w:r>
              <w:rPr>
                <w:rFonts w:hint="eastAsia"/>
                <w:sz w:val="21"/>
              </w:rPr>
              <w:t xml:space="preserve">电池类型 ：锂离子动力电池，充电时间&lt;=1h，充满电使用时间&gt;4h </w:t>
            </w:r>
          </w:p>
          <w:p>
            <w:pPr>
              <w:pStyle w:val="11"/>
              <w:widowControl/>
              <w:spacing w:line="340" w:lineRule="atLeast"/>
              <w:rPr>
                <w:sz w:val="21"/>
              </w:rPr>
            </w:pPr>
            <w:r>
              <w:rPr>
                <w:rFonts w:hint="eastAsia"/>
                <w:sz w:val="21"/>
              </w:rPr>
              <w:t xml:space="preserve">电池容量 ：不少于0mah </w:t>
            </w:r>
          </w:p>
          <w:p>
            <w:pPr>
              <w:pStyle w:val="11"/>
              <w:widowControl/>
              <w:spacing w:line="340" w:lineRule="atLeast"/>
              <w:rPr>
                <w:sz w:val="21"/>
              </w:rPr>
            </w:pPr>
            <w:r>
              <w:rPr>
                <w:rFonts w:hint="eastAsia"/>
                <w:sz w:val="21"/>
              </w:rPr>
              <w:t xml:space="preserve">输入电压： ac110v--ac220v </w:t>
            </w:r>
          </w:p>
          <w:p>
            <w:pPr>
              <w:pStyle w:val="11"/>
              <w:widowControl/>
              <w:spacing w:line="340" w:lineRule="atLeast"/>
              <w:rPr>
                <w:sz w:val="21"/>
              </w:rPr>
            </w:pPr>
            <w:r>
              <w:rPr>
                <w:rFonts w:hint="eastAsia"/>
                <w:sz w:val="21"/>
              </w:rPr>
              <w:t xml:space="preserve">输入电流 ：1.5a（max） </w:t>
            </w:r>
          </w:p>
          <w:p>
            <w:pPr>
              <w:pStyle w:val="11"/>
              <w:widowControl/>
              <w:spacing w:line="340" w:lineRule="atLeast"/>
              <w:rPr>
                <w:sz w:val="21"/>
              </w:rPr>
            </w:pPr>
            <w:r>
              <w:rPr>
                <w:rFonts w:hint="eastAsia"/>
                <w:sz w:val="21"/>
              </w:rPr>
              <w:t>消耗功率 ：68w 配件说明 ：6个（含适配器）</w:t>
            </w:r>
          </w:p>
          <w:p>
            <w:pPr>
              <w:pStyle w:val="11"/>
              <w:widowControl/>
              <w:spacing w:line="340" w:lineRule="atLeast"/>
              <w:rPr>
                <w:sz w:val="21"/>
              </w:rPr>
            </w:pPr>
            <w:r>
              <w:rPr>
                <w:rFonts w:hint="eastAsia"/>
                <w:sz w:val="21"/>
              </w:rPr>
              <w:t>档位力度 ：至少12档</w:t>
            </w:r>
          </w:p>
          <w:p>
            <w:pPr>
              <w:pStyle w:val="11"/>
              <w:widowControl/>
              <w:spacing w:line="340" w:lineRule="atLeast"/>
              <w:rPr>
                <w:sz w:val="21"/>
              </w:rPr>
            </w:pPr>
            <w:r>
              <w:rPr>
                <w:rFonts w:hint="eastAsia"/>
                <w:sz w:val="21"/>
              </w:rPr>
              <w:t xml:space="preserve">输出电流 ：2a </w:t>
            </w:r>
          </w:p>
          <w:p>
            <w:pPr>
              <w:pStyle w:val="11"/>
              <w:widowControl/>
              <w:spacing w:line="340" w:lineRule="atLeast"/>
              <w:rPr>
                <w:sz w:val="21"/>
              </w:rPr>
            </w:pPr>
            <w:r>
              <w:rPr>
                <w:rFonts w:hint="eastAsia"/>
                <w:sz w:val="21"/>
              </w:rPr>
              <w:t xml:space="preserve">电源配置 ：自动恒流--充电电池组电压24v </w:t>
            </w:r>
          </w:p>
          <w:p>
            <w:pPr>
              <w:pStyle w:val="11"/>
              <w:widowControl/>
              <w:spacing w:line="340" w:lineRule="atLeast"/>
              <w:rPr>
                <w:sz w:val="21"/>
              </w:rPr>
            </w:pPr>
            <w:r>
              <w:rPr>
                <w:rFonts w:hint="eastAsia"/>
                <w:sz w:val="21"/>
              </w:rPr>
              <w:t xml:space="preserve">震动频率： 1000hz-3600hz/分钟 </w:t>
            </w:r>
          </w:p>
          <w:p>
            <w:pPr>
              <w:pStyle w:val="11"/>
              <w:widowControl/>
              <w:spacing w:line="340" w:lineRule="atLeast"/>
              <w:rPr>
                <w:sz w:val="21"/>
              </w:rPr>
            </w:pPr>
            <w:r>
              <w:rPr>
                <w:rFonts w:hint="eastAsia"/>
                <w:sz w:val="21"/>
              </w:rPr>
              <w:t xml:space="preserve">输出电压： dc25.2v </w:t>
            </w:r>
          </w:p>
        </w:tc>
        <w:tc>
          <w:tcPr>
            <w:tcW w:w="863" w:type="dxa"/>
            <w:vAlign w:val="center"/>
          </w:tcPr>
          <w:p>
            <w:pPr>
              <w:jc w:val="center"/>
            </w:pPr>
            <w:r>
              <w:rPr>
                <w:rFonts w:hint="eastAsia"/>
              </w:rPr>
              <w:t>2</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9" w:hRule="atLeast"/>
          <w:jc w:val="center"/>
        </w:trPr>
        <w:tc>
          <w:tcPr>
            <w:tcW w:w="572" w:type="dxa"/>
            <w:vAlign w:val="center"/>
          </w:tcPr>
          <w:p>
            <w:pPr>
              <w:jc w:val="center"/>
            </w:pPr>
            <w:r>
              <w:rPr>
                <w:rFonts w:hint="eastAsia"/>
              </w:rPr>
              <w:t>10</w:t>
            </w:r>
          </w:p>
        </w:tc>
        <w:tc>
          <w:tcPr>
            <w:tcW w:w="1942" w:type="dxa"/>
            <w:vAlign w:val="center"/>
          </w:tcPr>
          <w:p>
            <w:pPr>
              <w:jc w:val="center"/>
            </w:pPr>
            <w:r>
              <w:rPr>
                <w:rFonts w:hint="eastAsia"/>
              </w:rPr>
              <w:t>便携健康体适能测试设备</w:t>
            </w:r>
          </w:p>
        </w:tc>
        <w:tc>
          <w:tcPr>
            <w:tcW w:w="4264" w:type="dxa"/>
          </w:tcPr>
          <w:p>
            <w:r>
              <w:rPr>
                <w:rFonts w:hint="eastAsia"/>
              </w:rPr>
              <w:t>便携健康体适能设备套装由以下部分组成，其中包含上臂电子血压计一台、电子式体重计一台、身高计一台、电子式肺活量计一台、体前屈测试器一台、立定跳远垫一套、男女通用台阶测试箱3套、夹指式脉搏血氧仪三套、电子握力计一套、电子背力计一套、秒表一套，并需提供健康体适能测试使用指南。</w:t>
            </w:r>
          </w:p>
          <w:p>
            <w:r>
              <w:rPr>
                <w:rFonts w:hint="eastAsia"/>
              </w:rPr>
              <w:t>配件技术参数如下：</w:t>
            </w:r>
          </w:p>
          <w:p>
            <w:r>
              <w:rPr>
                <w:rFonts w:hint="eastAsia"/>
              </w:rPr>
              <w:t>1. 上臂电子血压计</w:t>
            </w:r>
          </w:p>
          <w:p>
            <w:r>
              <w:rPr>
                <w:rFonts w:hint="eastAsia"/>
              </w:rPr>
              <w:t>a) 可记忆组数：90组以上</w:t>
            </w:r>
          </w:p>
          <w:p>
            <w:r>
              <w:rPr>
                <w:rFonts w:hint="eastAsia"/>
              </w:rPr>
              <w:t>b) 血压测量方法：示波测定法</w:t>
            </w:r>
          </w:p>
          <w:p>
            <w:r>
              <w:rPr>
                <w:rFonts w:hint="eastAsia"/>
              </w:rPr>
              <w:t>c) 设备运行方式：间歇式运作</w:t>
            </w:r>
          </w:p>
          <w:p>
            <w:r>
              <w:rPr>
                <w:rFonts w:hint="eastAsia"/>
              </w:rPr>
              <w:t>d) 测试范围：收缩压60-230mmHg（8.0-30.7ka）/舒张压40-130mmHg（5.3-17.3ka）</w:t>
            </w:r>
          </w:p>
          <w:p>
            <w:r>
              <w:rPr>
                <w:rFonts w:hint="eastAsia"/>
              </w:rPr>
              <w:t>2. 电子式体重计</w:t>
            </w:r>
          </w:p>
          <w:p>
            <w:r>
              <w:rPr>
                <w:rFonts w:hint="eastAsia"/>
              </w:rPr>
              <w:t>a) 显示方式：LCD显示屏读数清晰，使用液晶数字显示</w:t>
            </w:r>
          </w:p>
          <w:p>
            <w:r>
              <w:rPr>
                <w:rFonts w:hint="eastAsia"/>
              </w:rPr>
              <w:t>b) 称重范围：0.2-180kg</w:t>
            </w:r>
          </w:p>
          <w:p>
            <w:r>
              <w:rPr>
                <w:rFonts w:hint="eastAsia"/>
              </w:rPr>
              <w:t>c) 特殊功能: 测温</w:t>
            </w:r>
          </w:p>
          <w:p>
            <w:r>
              <w:rPr>
                <w:rFonts w:hint="eastAsia"/>
              </w:rPr>
              <w:t>d) 面板材质: 钢化玻璃</w:t>
            </w:r>
          </w:p>
          <w:p>
            <w:r>
              <w:rPr>
                <w:rFonts w:hint="eastAsia"/>
              </w:rPr>
              <w:t>3. 身高计</w:t>
            </w:r>
          </w:p>
          <w:p>
            <w:r>
              <w:rPr>
                <w:rFonts w:hint="eastAsia"/>
              </w:rPr>
              <w:t>a) 刻度尺显示，精 度：±0.1厘米，分度值：0.1厘米</w:t>
            </w:r>
          </w:p>
          <w:p>
            <w:r>
              <w:rPr>
                <w:rFonts w:hint="eastAsia"/>
              </w:rPr>
              <w:t xml:space="preserve">b) 量 程：站高为60-200厘米/坐高为40-120厘米 </w:t>
            </w:r>
          </w:p>
          <w:p>
            <w:r>
              <w:rPr>
                <w:rFonts w:hint="eastAsia"/>
              </w:rPr>
              <w:t>4. 电子式肺活量计</w:t>
            </w:r>
          </w:p>
          <w:p>
            <w:r>
              <w:rPr>
                <w:rFonts w:hint="eastAsia"/>
              </w:rPr>
              <w:t>a) 测试人体呼吸的最大通气能力，其数值反映的容积和肺的扩张能力。测试者体质机能；量测值为：0-10000ml/分度1ml</w:t>
            </w:r>
          </w:p>
          <w:p>
            <w:r>
              <w:rPr>
                <w:rFonts w:hint="eastAsia"/>
              </w:rPr>
              <w:t>b) 工作环境：0-40摄氏度</w:t>
            </w:r>
          </w:p>
          <w:p>
            <w:r>
              <w:rPr>
                <w:rFonts w:hint="eastAsia"/>
              </w:rPr>
              <w:t>5. 体前屈测试器</w:t>
            </w:r>
          </w:p>
          <w:p>
            <w:r>
              <w:rPr>
                <w:rFonts w:hint="eastAsia"/>
              </w:rPr>
              <w:t>a) 测试人体躯干、腰、髋等关节可能达到的活动幅度，主要反应这些部位关节、韧带和肌肉的伸展性及身体柔韧素质的发展水平</w:t>
            </w:r>
          </w:p>
          <w:p>
            <w:r>
              <w:rPr>
                <w:rFonts w:hint="eastAsia"/>
              </w:rPr>
              <w:t>b) 量程：-20.0-32cm</w:t>
            </w:r>
          </w:p>
          <w:p>
            <w:r>
              <w:rPr>
                <w:rFonts w:hint="eastAsia"/>
              </w:rPr>
              <w:t>c) 分度值：0.1cm/误差：±0.1cm</w:t>
            </w:r>
          </w:p>
          <w:p>
            <w:r>
              <w:rPr>
                <w:rFonts w:hint="eastAsia"/>
              </w:rPr>
              <w:t>d) 环境温度：-10-50℃</w:t>
            </w:r>
          </w:p>
          <w:p>
            <w:r>
              <w:rPr>
                <w:rFonts w:hint="eastAsia"/>
              </w:rPr>
              <w:t>6. 立定跳远垫</w:t>
            </w:r>
          </w:p>
          <w:p>
            <w:r>
              <w:rPr>
                <w:rFonts w:hint="eastAsia"/>
              </w:rPr>
              <w:t>a) 材质：高耐磨PVC材质</w:t>
            </w:r>
          </w:p>
          <w:p>
            <w:r>
              <w:rPr>
                <w:rFonts w:hint="eastAsia"/>
              </w:rPr>
              <w:t>b) 刻度尺显示、防滑、精确、耐磨</w:t>
            </w:r>
          </w:p>
          <w:p>
            <w:r>
              <w:rPr>
                <w:rFonts w:hint="eastAsia"/>
              </w:rPr>
              <w:t>7. 男女通用台阶测试箱</w:t>
            </w:r>
          </w:p>
          <w:p>
            <w:pPr>
              <w:ind w:firstLine="360" w:firstLineChars="150"/>
            </w:pPr>
            <w:r>
              <w:rPr>
                <w:rFonts w:hint="eastAsia"/>
              </w:rPr>
              <w:t>通过对被试者在持续时间搭台上下运动后脉搏变化的测试，判定个体心肺负荷技能水平</w:t>
            </w:r>
          </w:p>
          <w:p>
            <w:r>
              <w:rPr>
                <w:rFonts w:hint="eastAsia"/>
              </w:rPr>
              <w:t>8. 夹指式脉搏血氧仪</w:t>
            </w:r>
          </w:p>
          <w:p>
            <w:r>
              <w:rPr>
                <w:rFonts w:hint="eastAsia"/>
              </w:rPr>
              <w:t>a) 显示：OLED显示</w:t>
            </w:r>
          </w:p>
          <w:p>
            <w:r>
              <w:rPr>
                <w:rFonts w:hint="eastAsia"/>
              </w:rPr>
              <w:t>b) 8秒测量时间，显示血氧、脉率、脉搏强度</w:t>
            </w:r>
          </w:p>
          <w:p>
            <w:r>
              <w:rPr>
                <w:rFonts w:hint="eastAsia"/>
              </w:rPr>
              <w:t>c) 脉率显示：25-250bpm±1bpm</w:t>
            </w:r>
          </w:p>
          <w:p>
            <w:r>
              <w:rPr>
                <w:rFonts w:hint="eastAsia"/>
              </w:rPr>
              <w:t>d) 运行方式：间歇运行/工作电流≤30MA</w:t>
            </w:r>
          </w:p>
          <w:p>
            <w:r>
              <w:rPr>
                <w:rFonts w:hint="eastAsia"/>
              </w:rPr>
              <w:t>9. 电子握力计</w:t>
            </w:r>
          </w:p>
          <w:p>
            <w:r>
              <w:rPr>
                <w:rFonts w:hint="eastAsia"/>
              </w:rPr>
              <w:t>a) LED数码显示器</w:t>
            </w:r>
          </w:p>
          <w:p>
            <w:r>
              <w:rPr>
                <w:rFonts w:hint="eastAsia"/>
              </w:rPr>
              <w:t>b) 可调节手柄满足不同年龄人群使用</w:t>
            </w:r>
          </w:p>
          <w:p>
            <w:r>
              <w:rPr>
                <w:rFonts w:hint="eastAsia"/>
              </w:rPr>
              <w:t>c) 量程：0-90KG，分度值：0.1公斤/0.2磅</w:t>
            </w:r>
          </w:p>
          <w:p>
            <w:r>
              <w:rPr>
                <w:rFonts w:hint="eastAsia"/>
              </w:rPr>
              <w:t>10. 电子背力计</w:t>
            </w:r>
          </w:p>
          <w:p>
            <w:r>
              <w:rPr>
                <w:rFonts w:hint="eastAsia"/>
              </w:rPr>
              <w:t>a) 用途：测试腰背部肌肉力量</w:t>
            </w:r>
          </w:p>
          <w:p>
            <w:r>
              <w:rPr>
                <w:rFonts w:hint="eastAsia"/>
              </w:rPr>
              <w:t>b) 测量范围：0-400kg，分度值：1kg，示值误差：1/400F.S</w:t>
            </w:r>
          </w:p>
          <w:p>
            <w:r>
              <w:rPr>
                <w:rFonts w:hint="eastAsia"/>
              </w:rPr>
              <w:t>c) 电源：1节9V叠式电池</w:t>
            </w:r>
          </w:p>
          <w:p>
            <w:r>
              <w:rPr>
                <w:rFonts w:hint="eastAsia"/>
              </w:rPr>
              <w:t>d) 功能：背力峰值保持，开关/清零，定时开关</w:t>
            </w:r>
          </w:p>
          <w:p>
            <w:r>
              <w:rPr>
                <w:rFonts w:hint="eastAsia"/>
              </w:rPr>
              <w:t>11. 秒表</w:t>
            </w:r>
          </w:p>
          <w:p>
            <w:r>
              <w:rPr>
                <w:rFonts w:hint="eastAsia"/>
              </w:rPr>
              <w:t>a) 双排10道记忆秒表，1/100秒为计时单位，最大计时10小时</w:t>
            </w:r>
          </w:p>
          <w:p>
            <w:r>
              <w:rPr>
                <w:rFonts w:hint="eastAsia"/>
              </w:rPr>
              <w:t>b)大数字液晶显示，可显示快和慢和平均时间、</w:t>
            </w:r>
          </w:p>
          <w:p>
            <w:r>
              <w:rPr>
                <w:rFonts w:hint="eastAsia"/>
              </w:rPr>
              <w:t>c) 倒数计时：最长倒计时为10小时、</w:t>
            </w:r>
          </w:p>
          <w:p>
            <w:r>
              <w:rPr>
                <w:rFonts w:hint="eastAsia"/>
              </w:rPr>
              <w:t>d) 兼具时间和日历功能，12/24小时显示</w:t>
            </w:r>
          </w:p>
        </w:tc>
        <w:tc>
          <w:tcPr>
            <w:tcW w:w="863" w:type="dxa"/>
            <w:vAlign w:val="center"/>
          </w:tcPr>
          <w:p>
            <w:pPr>
              <w:pStyle w:val="23"/>
              <w:jc w:val="center"/>
            </w:pPr>
            <w:r>
              <w:rPr>
                <w:rFonts w:hint="eastAsia" w:ascii="Times New Roman" w:hAnsi="Times New Roman" w:cs="Times New Roman"/>
                <w:color w:val="auto"/>
                <w:kern w:val="2"/>
                <w:szCs w:val="22"/>
              </w:rPr>
              <w:t>2</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jc w:val="center"/>
        </w:trPr>
        <w:tc>
          <w:tcPr>
            <w:tcW w:w="572" w:type="dxa"/>
            <w:vAlign w:val="center"/>
          </w:tcPr>
          <w:p>
            <w:pPr>
              <w:jc w:val="center"/>
            </w:pPr>
            <w:r>
              <w:rPr>
                <w:rFonts w:hint="eastAsia"/>
              </w:rPr>
              <w:t>11</w:t>
            </w:r>
          </w:p>
        </w:tc>
        <w:tc>
          <w:tcPr>
            <w:tcW w:w="1942" w:type="dxa"/>
            <w:vAlign w:val="center"/>
          </w:tcPr>
          <w:p>
            <w:pPr>
              <w:jc w:val="center"/>
            </w:pPr>
            <w:r>
              <w:rPr>
                <w:rFonts w:hint="eastAsia"/>
              </w:rPr>
              <w:t>上肢功能评价器</w:t>
            </w:r>
          </w:p>
        </w:tc>
        <w:tc>
          <w:tcPr>
            <w:tcW w:w="4264" w:type="dxa"/>
          </w:tcPr>
          <w:p>
            <w:r>
              <w:rPr>
                <w:rFonts w:hint="eastAsia"/>
              </w:rPr>
              <w:t>本系统适用于神经系统引起的轻度感认知障碍患者、脑血管意外引起的肢体功能障碍患者、骨科疾病引起的肢体异常障碍患者、整形手术导致的功能障碍患者等以上下肢肢体功能障碍为主的患者，还可以运用于记忆力、注意力、手眼配合等有障碍的患者</w:t>
            </w:r>
          </w:p>
        </w:tc>
        <w:tc>
          <w:tcPr>
            <w:tcW w:w="863" w:type="dxa"/>
            <w:vAlign w:val="center"/>
          </w:tcPr>
          <w:p>
            <w:pPr>
              <w:pStyle w:val="23"/>
              <w:jc w:val="center"/>
            </w:pPr>
            <w:r>
              <w:rPr>
                <w:rFonts w:hint="eastAsia"/>
                <w:color w:val="auto"/>
              </w:rPr>
              <w:t>1</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72" w:type="dxa"/>
            <w:vAlign w:val="center"/>
          </w:tcPr>
          <w:p>
            <w:pPr>
              <w:jc w:val="center"/>
            </w:pPr>
            <w:r>
              <w:rPr>
                <w:rFonts w:hint="eastAsia"/>
              </w:rPr>
              <w:t>12</w:t>
            </w:r>
          </w:p>
        </w:tc>
        <w:tc>
          <w:tcPr>
            <w:tcW w:w="1942" w:type="dxa"/>
            <w:vAlign w:val="center"/>
          </w:tcPr>
          <w:p>
            <w:pPr>
              <w:jc w:val="center"/>
            </w:pPr>
            <w:r>
              <w:rPr>
                <w:rFonts w:hint="eastAsia"/>
              </w:rPr>
              <w:t>关节角度器</w:t>
            </w:r>
          </w:p>
        </w:tc>
        <w:tc>
          <w:tcPr>
            <w:tcW w:w="4264" w:type="dxa"/>
          </w:tcPr>
          <w:p>
            <w:r>
              <w:rPr>
                <w:rFonts w:hint="eastAsia"/>
              </w:rPr>
              <w:t>测量器具共5件 适用于脊椎、上肢、下肢、手指等关节活动度测量</w:t>
            </w:r>
          </w:p>
        </w:tc>
        <w:tc>
          <w:tcPr>
            <w:tcW w:w="863" w:type="dxa"/>
            <w:vAlign w:val="center"/>
          </w:tcPr>
          <w:p>
            <w:pPr>
              <w:pStyle w:val="23"/>
              <w:jc w:val="center"/>
              <w:rPr>
                <w:color w:val="auto"/>
              </w:rPr>
            </w:pPr>
            <w:r>
              <w:rPr>
                <w:rFonts w:hint="eastAsia"/>
                <w:color w:val="auto"/>
              </w:rPr>
              <w:t>10</w:t>
            </w:r>
          </w:p>
        </w:tc>
        <w:tc>
          <w:tcPr>
            <w:tcW w:w="1089" w:type="dxa"/>
            <w:vAlign w:val="center"/>
          </w:tcPr>
          <w:p>
            <w:pPr>
              <w:jc w:val="center"/>
            </w:pPr>
            <w:r>
              <w:rPr>
                <w:rFonts w:hint="eastAsia"/>
              </w:rPr>
              <w:t>货物</w:t>
            </w:r>
          </w:p>
        </w:tc>
        <w:tc>
          <w:tcPr>
            <w:tcW w:w="1190" w:type="dxa"/>
            <w:vAlign w:val="center"/>
          </w:tcPr>
          <w:p>
            <w:pPr>
              <w:spacing w:line="240" w:lineRule="exact"/>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572" w:type="dxa"/>
            <w:vAlign w:val="center"/>
          </w:tcPr>
          <w:p>
            <w:pPr>
              <w:jc w:val="center"/>
            </w:pPr>
            <w:r>
              <w:rPr>
                <w:rFonts w:hint="eastAsia"/>
              </w:rPr>
              <w:t>13</w:t>
            </w:r>
          </w:p>
        </w:tc>
        <w:tc>
          <w:tcPr>
            <w:tcW w:w="1942" w:type="dxa"/>
            <w:vAlign w:val="center"/>
          </w:tcPr>
          <w:p>
            <w:pPr>
              <w:jc w:val="center"/>
            </w:pPr>
            <w:r>
              <w:rPr>
                <w:rFonts w:hint="eastAsia"/>
              </w:rPr>
              <w:t>皮脂测量器</w:t>
            </w:r>
          </w:p>
          <w:p>
            <w:pPr>
              <w:jc w:val="center"/>
            </w:pPr>
          </w:p>
        </w:tc>
        <w:tc>
          <w:tcPr>
            <w:tcW w:w="4264" w:type="dxa"/>
          </w:tcPr>
          <w:p>
            <w:r>
              <w:rPr>
                <w:rFonts w:hint="eastAsia"/>
              </w:rPr>
              <w:t>1、功能：测量人体脂肪厚度用。2、主要参数：1）皮脂厚度计的测量范围为0～60mm，其分度值为0.5mm。2）牢固性：皮脂厚度计的结构安装应正确、紧固可靠，无正常使用过程中的构件断裂、紧固件松脱现象。3）指针偏转平稳性：皮脂厚度计的指针偏转应平稳，不得跳动、呆滞。4）灵敏度：皮脂厚度计的压力调节应灵敏可靠，无失灵、失控和紊乱现象。</w:t>
            </w:r>
          </w:p>
        </w:tc>
        <w:tc>
          <w:tcPr>
            <w:tcW w:w="863" w:type="dxa"/>
            <w:vAlign w:val="center"/>
          </w:tcPr>
          <w:p>
            <w:pPr>
              <w:pStyle w:val="23"/>
              <w:jc w:val="center"/>
              <w:rPr>
                <w:color w:val="auto"/>
              </w:rPr>
            </w:pPr>
            <w:r>
              <w:rPr>
                <w:rFonts w:hint="eastAsia"/>
                <w:color w:val="auto"/>
              </w:rPr>
              <w:t>2</w:t>
            </w:r>
          </w:p>
        </w:tc>
        <w:tc>
          <w:tcPr>
            <w:tcW w:w="1089" w:type="dxa"/>
            <w:vAlign w:val="center"/>
          </w:tcPr>
          <w:p>
            <w:pPr>
              <w:jc w:val="center"/>
            </w:pPr>
            <w:r>
              <w:rPr>
                <w:rFonts w:hint="eastAsia"/>
              </w:rPr>
              <w:t>货物</w:t>
            </w:r>
          </w:p>
        </w:tc>
        <w:tc>
          <w:tcPr>
            <w:tcW w:w="1190" w:type="dxa"/>
            <w:vAlign w:val="center"/>
          </w:tcPr>
          <w:p>
            <w:pPr>
              <w:jc w:val="center"/>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572" w:type="dxa"/>
            <w:vAlign w:val="center"/>
          </w:tcPr>
          <w:p>
            <w:pPr>
              <w:jc w:val="center"/>
            </w:pPr>
            <w:r>
              <w:rPr>
                <w:rFonts w:hint="eastAsia"/>
              </w:rPr>
              <w:t>14</w:t>
            </w:r>
          </w:p>
        </w:tc>
        <w:tc>
          <w:tcPr>
            <w:tcW w:w="1942" w:type="dxa"/>
            <w:vAlign w:val="center"/>
          </w:tcPr>
          <w:p>
            <w:pPr>
              <w:jc w:val="center"/>
            </w:pPr>
            <w:r>
              <w:rPr>
                <w:rFonts w:hint="eastAsia"/>
              </w:rPr>
              <w:t>人体体成分分析仪</w:t>
            </w:r>
          </w:p>
        </w:tc>
        <w:tc>
          <w:tcPr>
            <w:tcW w:w="4264" w:type="dxa"/>
          </w:tcPr>
          <w:p>
            <w:r>
              <w:rPr>
                <w:rFonts w:hint="eastAsia"/>
              </w:rPr>
              <w:t>负责提供使用方法培训。</w:t>
            </w:r>
          </w:p>
          <w:p>
            <w:r>
              <w:rPr>
                <w:rFonts w:hint="eastAsia"/>
              </w:rPr>
              <w:t>检测功能：体重、体脂肪率、体水分率、基础代谢量、基础代谢年龄、内脏脂肪等级、肌肉量、骨量、小孩判定、BMI、体型判定、左右部位别测定。</w:t>
            </w:r>
          </w:p>
          <w:p>
            <w:r>
              <w:rPr>
                <w:rFonts w:hint="eastAsia"/>
              </w:rPr>
              <w:t>技术参数：</w:t>
            </w:r>
          </w:p>
          <w:p>
            <w:r>
              <w:rPr>
                <w:rFonts w:hint="eastAsia"/>
              </w:rPr>
              <w:t>阻抗测量系统:多频 8-电极</w:t>
            </w:r>
          </w:p>
          <w:p>
            <w:r>
              <w:rPr>
                <w:rFonts w:hint="eastAsia"/>
              </w:rPr>
              <w:t>阻抗测量频率:5kHz/250kHz/500kHz</w:t>
            </w:r>
          </w:p>
          <w:p>
            <w:r>
              <w:rPr>
                <w:rFonts w:hint="eastAsia"/>
              </w:rPr>
              <w:t>阻抗测量电流:90 µA或以下</w:t>
            </w:r>
          </w:p>
          <w:p>
            <w:r>
              <w:rPr>
                <w:rFonts w:hint="eastAsia"/>
              </w:rPr>
              <w:t>阻抗电极材料:脚：不锈钢、把手：电镀材料</w:t>
            </w:r>
          </w:p>
          <w:p>
            <w:r>
              <w:rPr>
                <w:rFonts w:hint="eastAsia"/>
              </w:rPr>
              <w:t>阻抗测量部分:全身/右臂/左臂/右腿/左腿</w:t>
            </w:r>
          </w:p>
          <w:p>
            <w:r>
              <w:rPr>
                <w:rFonts w:hint="eastAsia"/>
              </w:rPr>
              <w:t>阻抗测量范围:75.0！1.500.00Ω（0.1Ω单位）</w:t>
            </w:r>
          </w:p>
          <w:p>
            <w:r>
              <w:rPr>
                <w:rFonts w:hint="eastAsia"/>
              </w:rPr>
              <w:t>阻抗初次校正测量进度:±2%</w:t>
            </w:r>
          </w:p>
          <w:p>
            <w:r>
              <w:rPr>
                <w:rFonts w:hint="eastAsia"/>
              </w:rPr>
              <w:t>体重测量系统:电阻应变式</w:t>
            </w:r>
          </w:p>
          <w:p>
            <w:r>
              <w:rPr>
                <w:rFonts w:hint="eastAsia"/>
              </w:rPr>
              <w:t>体重测量最大能力（最大体重）:270KG（包括衣物重量）</w:t>
            </w:r>
          </w:p>
          <w:p>
            <w:r>
              <w:rPr>
                <w:rFonts w:hint="eastAsia"/>
              </w:rPr>
              <w:t>体重测量型号授权号及精确等级:T7063 CLASSⅢ</w:t>
            </w:r>
          </w:p>
          <w:p>
            <w:r>
              <w:rPr>
                <w:rFonts w:hint="eastAsia"/>
              </w:rPr>
              <w:t>体重测量最小刻度（最小显示值）:0~200 KG：0.05KG：200~270KG:0.1KG</w:t>
            </w:r>
          </w:p>
          <w:p>
            <w:r>
              <w:rPr>
                <w:rFonts w:hint="eastAsia"/>
              </w:rPr>
              <w:t>体重测量初次校正测量精度:±2KG</w:t>
            </w:r>
          </w:p>
          <w:p>
            <w:r>
              <w:rPr>
                <w:rFonts w:hint="eastAsia"/>
              </w:rPr>
              <w:t>体重:0~270KG</w:t>
            </w:r>
          </w:p>
          <w:p>
            <w:r>
              <w:rPr>
                <w:rFonts w:hint="eastAsia"/>
              </w:rPr>
              <w:t>衣物重量:0~10.00KG（0.05KG单位）</w:t>
            </w:r>
          </w:p>
          <w:p>
            <w:r>
              <w:rPr>
                <w:rFonts w:hint="eastAsia"/>
              </w:rPr>
              <w:t>脂肪率:1.0~75%（0.1%单位）</w:t>
            </w:r>
          </w:p>
          <w:p>
            <w:r>
              <w:rPr>
                <w:rFonts w:hint="eastAsia"/>
              </w:rPr>
              <w:t>脂肪率分析:5个部位</w:t>
            </w:r>
          </w:p>
          <w:p>
            <w:r>
              <w:rPr>
                <w:rFonts w:hint="eastAsia"/>
              </w:rPr>
              <w:t>输入衣物重量:0.05KG（0~10KG）</w:t>
            </w:r>
          </w:p>
          <w:p>
            <w:r>
              <w:rPr>
                <w:rFonts w:hint="eastAsia"/>
              </w:rPr>
              <w:t>输入识别代码:0000000001~9999999999（10位）</w:t>
            </w:r>
          </w:p>
          <w:p>
            <w:r>
              <w:rPr>
                <w:rFonts w:hint="eastAsia"/>
              </w:rPr>
              <w:t>输入体型:标准（5~99岁）运动员（18~99岁）</w:t>
            </w:r>
          </w:p>
          <w:p>
            <w:r>
              <w:rPr>
                <w:rFonts w:hint="eastAsia"/>
              </w:rPr>
              <w:t>输入身高:90.0~249.9CM（可切换0.1cm-1cm）</w:t>
            </w:r>
          </w:p>
          <w:p>
            <w:r>
              <w:rPr>
                <w:rFonts w:hint="eastAsia"/>
              </w:rPr>
              <w:t>输出数据接口:320×240点TFT彩色LCD触控屏幕，RS-232C输入/输出（孔式接口D9针连接头），USB输入/输出（B型接头）</w:t>
            </w:r>
          </w:p>
          <w:p>
            <w:r>
              <w:rPr>
                <w:rFonts w:hint="eastAsia"/>
              </w:rPr>
              <w:t>电源电压:220V AC（50Hz/60Hz)</w:t>
            </w:r>
          </w:p>
          <w:p>
            <w:r>
              <w:rPr>
                <w:rFonts w:hint="eastAsia"/>
              </w:rPr>
              <w:t>额定功率:30W最大</w:t>
            </w:r>
          </w:p>
          <w:p>
            <w:r>
              <w:rPr>
                <w:rFonts w:hint="eastAsia"/>
              </w:rPr>
              <w:t>工作温度范围（储存温度范围）:5℃~35℃（-10℃~+60℃）</w:t>
            </w:r>
          </w:p>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572" w:type="dxa"/>
            <w:vAlign w:val="center"/>
          </w:tcPr>
          <w:p>
            <w:pPr>
              <w:jc w:val="center"/>
            </w:pPr>
            <w:r>
              <w:rPr>
                <w:rFonts w:hint="eastAsia"/>
              </w:rPr>
              <w:t>15</w:t>
            </w:r>
          </w:p>
        </w:tc>
        <w:tc>
          <w:tcPr>
            <w:tcW w:w="1942" w:type="dxa"/>
            <w:vAlign w:val="center"/>
          </w:tcPr>
          <w:p>
            <w:pPr>
              <w:jc w:val="center"/>
            </w:pPr>
            <w:r>
              <w:rPr>
                <w:rFonts w:hint="eastAsia"/>
              </w:rPr>
              <w:t>两点阈测量器</w:t>
            </w:r>
          </w:p>
        </w:tc>
        <w:tc>
          <w:tcPr>
            <w:tcW w:w="4264" w:type="dxa"/>
          </w:tcPr>
          <w:p>
            <w:r>
              <w:rPr>
                <w:rFonts w:hint="eastAsia"/>
              </w:rPr>
              <w:t>由一个游标卡尺和三个刺激点构成。</w:t>
            </w:r>
            <w:r>
              <w:rPr>
                <w:rFonts w:hint="eastAsia"/>
              </w:rPr>
              <w:br w:type="textWrapping"/>
            </w:r>
            <w:r>
              <w:rPr>
                <w:rFonts w:hint="eastAsia"/>
              </w:rPr>
              <w:t>刺激点a和b位于卡尺一端，其量程为0~130mm，读数精度0.02mm</w:t>
            </w:r>
            <w:r>
              <w:rPr>
                <w:rFonts w:hint="eastAsia"/>
              </w:rPr>
              <w:br w:type="textWrapping"/>
            </w:r>
            <w:r>
              <w:rPr>
                <w:rFonts w:hint="eastAsia"/>
              </w:rPr>
              <w:t>刺激点c位于卡尺上端</w:t>
            </w:r>
          </w:p>
        </w:tc>
        <w:tc>
          <w:tcPr>
            <w:tcW w:w="863" w:type="dxa"/>
            <w:vAlign w:val="center"/>
          </w:tcPr>
          <w:p>
            <w:pPr>
              <w:pStyle w:val="23"/>
              <w:jc w:val="center"/>
              <w:rPr>
                <w:color w:val="auto"/>
              </w:rPr>
            </w:pPr>
            <w:r>
              <w:rPr>
                <w:rFonts w:hint="eastAsia"/>
                <w:color w:val="auto"/>
              </w:rPr>
              <w:t>5</w:t>
            </w:r>
          </w:p>
        </w:tc>
        <w:tc>
          <w:tcPr>
            <w:tcW w:w="1089" w:type="dxa"/>
            <w:vAlign w:val="center"/>
          </w:tcPr>
          <w:p>
            <w:pPr>
              <w:jc w:val="center"/>
            </w:pPr>
            <w:r>
              <w:rPr>
                <w:rFonts w:hint="eastAsia"/>
              </w:rPr>
              <w:t>货物</w:t>
            </w:r>
          </w:p>
        </w:tc>
        <w:tc>
          <w:tcPr>
            <w:tcW w:w="1190" w:type="dxa"/>
            <w:vAlign w:val="center"/>
          </w:tcPr>
          <w:p>
            <w:pPr>
              <w:jc w:val="center"/>
            </w:pPr>
          </w:p>
        </w:tc>
      </w:tr>
      <w:tr>
        <w:tblPrEx>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16</w:t>
            </w:r>
          </w:p>
        </w:tc>
        <w:tc>
          <w:tcPr>
            <w:tcW w:w="1942" w:type="dxa"/>
            <w:vAlign w:val="center"/>
          </w:tcPr>
          <w:p>
            <w:pPr>
              <w:jc w:val="center"/>
            </w:pPr>
            <w:r>
              <w:rPr>
                <w:rFonts w:hint="eastAsia"/>
              </w:rPr>
              <w:t>肩关节模型</w:t>
            </w:r>
          </w:p>
        </w:tc>
        <w:tc>
          <w:tcPr>
            <w:tcW w:w="4264" w:type="dxa"/>
          </w:tcPr>
          <w:p>
            <w:r>
              <w:rPr>
                <w:rFonts w:hint="eastAsia"/>
              </w:rPr>
              <w:t>模型可展示肩关节外展、内收、前倾、后倾和向内/向外旋转。包含可弯曲的人工韧带。自然大，有底座。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17</w:t>
            </w:r>
          </w:p>
        </w:tc>
        <w:tc>
          <w:tcPr>
            <w:tcW w:w="1942" w:type="dxa"/>
            <w:vAlign w:val="center"/>
          </w:tcPr>
          <w:p>
            <w:pPr>
              <w:jc w:val="center"/>
            </w:pPr>
            <w:r>
              <w:rPr>
                <w:rFonts w:hint="eastAsia"/>
              </w:rPr>
              <w:t>胸椎模型</w:t>
            </w:r>
          </w:p>
        </w:tc>
        <w:tc>
          <w:tcPr>
            <w:tcW w:w="4264" w:type="dxa"/>
          </w:tcPr>
          <w:p>
            <w:r>
              <w:rPr>
                <w:rFonts w:hint="eastAsia"/>
              </w:rPr>
              <w:t>模型可展示肩关节外展、内收、前倾、后倾和向内/向外旋转。包含可弯曲的人工韧带。自然大，有底座。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72" w:type="dxa"/>
            <w:vAlign w:val="center"/>
          </w:tcPr>
          <w:p>
            <w:pPr>
              <w:jc w:val="center"/>
            </w:pPr>
            <w:r>
              <w:rPr>
                <w:rFonts w:hint="eastAsia"/>
              </w:rPr>
              <w:t>18</w:t>
            </w:r>
          </w:p>
        </w:tc>
        <w:tc>
          <w:tcPr>
            <w:tcW w:w="1942" w:type="dxa"/>
            <w:vAlign w:val="center"/>
          </w:tcPr>
          <w:p>
            <w:pPr>
              <w:jc w:val="center"/>
            </w:pPr>
            <w:r>
              <w:rPr>
                <w:rFonts w:hint="eastAsia"/>
              </w:rPr>
              <w:t>脊柱、骨盆与股骨头模型</w:t>
            </w:r>
          </w:p>
        </w:tc>
        <w:tc>
          <w:tcPr>
            <w:tcW w:w="4264" w:type="dxa"/>
          </w:tcPr>
          <w:p>
            <w:r>
              <w:rPr>
                <w:rFonts w:hint="eastAsia"/>
              </w:rPr>
              <w:t>本模型由12节胸椎与椎间盘，脊神经和脊椎组成，有底座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19</w:t>
            </w:r>
          </w:p>
        </w:tc>
        <w:tc>
          <w:tcPr>
            <w:tcW w:w="1942" w:type="dxa"/>
            <w:vAlign w:val="center"/>
          </w:tcPr>
          <w:p>
            <w:pPr>
              <w:jc w:val="center"/>
            </w:pPr>
            <w:r>
              <w:rPr>
                <w:rFonts w:hint="eastAsia"/>
              </w:rPr>
              <w:t>髋关节模型</w:t>
            </w:r>
          </w:p>
        </w:tc>
        <w:tc>
          <w:tcPr>
            <w:tcW w:w="4264" w:type="dxa"/>
          </w:tcPr>
          <w:p>
            <w:r>
              <w:rPr>
                <w:rFonts w:hint="eastAsia"/>
              </w:rPr>
              <w:t>模型可展示髋关节前屈、后伸、外展、内收、内/向外旋转。包含可弯曲的人工韧带。自然大，有底座。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572" w:type="dxa"/>
            <w:vAlign w:val="center"/>
          </w:tcPr>
          <w:p>
            <w:pPr>
              <w:jc w:val="center"/>
            </w:pPr>
            <w:r>
              <w:rPr>
                <w:rFonts w:hint="eastAsia"/>
              </w:rPr>
              <w:t>20</w:t>
            </w:r>
          </w:p>
        </w:tc>
        <w:tc>
          <w:tcPr>
            <w:tcW w:w="1942" w:type="dxa"/>
            <w:vAlign w:val="center"/>
          </w:tcPr>
          <w:p>
            <w:pPr>
              <w:jc w:val="center"/>
            </w:pPr>
            <w:r>
              <w:rPr>
                <w:rFonts w:hint="eastAsia"/>
              </w:rPr>
              <w:t>膝关节模型</w:t>
            </w:r>
          </w:p>
        </w:tc>
        <w:tc>
          <w:tcPr>
            <w:tcW w:w="4264" w:type="dxa"/>
          </w:tcPr>
          <w:p>
            <w:r>
              <w:rPr>
                <w:rFonts w:hint="eastAsia"/>
              </w:rPr>
              <w:t>模型可展示膝关节屈、伸。包含可弯曲的人工韧带。自然大，有底座。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Layout w:type="fixed"/>
          <w:tblCellMar>
            <w:top w:w="0" w:type="dxa"/>
            <w:left w:w="108" w:type="dxa"/>
            <w:bottom w:w="0" w:type="dxa"/>
            <w:right w:w="108" w:type="dxa"/>
          </w:tblCellMar>
        </w:tblPrEx>
        <w:trPr>
          <w:trHeight w:val="912" w:hRule="atLeast"/>
          <w:jc w:val="center"/>
        </w:trPr>
        <w:tc>
          <w:tcPr>
            <w:tcW w:w="572" w:type="dxa"/>
            <w:vAlign w:val="center"/>
          </w:tcPr>
          <w:p>
            <w:pPr>
              <w:jc w:val="center"/>
            </w:pPr>
            <w:r>
              <w:rPr>
                <w:rFonts w:hint="eastAsia"/>
              </w:rPr>
              <w:t>21</w:t>
            </w:r>
          </w:p>
        </w:tc>
        <w:tc>
          <w:tcPr>
            <w:tcW w:w="1942" w:type="dxa"/>
            <w:vAlign w:val="center"/>
          </w:tcPr>
          <w:p>
            <w:pPr>
              <w:jc w:val="center"/>
            </w:pPr>
            <w:r>
              <w:rPr>
                <w:rFonts w:hint="eastAsia"/>
              </w:rPr>
              <w:t>手关节部模型</w:t>
            </w:r>
          </w:p>
        </w:tc>
        <w:tc>
          <w:tcPr>
            <w:tcW w:w="4264" w:type="dxa"/>
          </w:tcPr>
          <w:p>
            <w:r>
              <w:rPr>
                <w:rFonts w:hint="eastAsia"/>
              </w:rPr>
              <w:t>模型显示手部解剖结构,可展示各种手功能。包含可弯曲的人工韧带。 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572" w:type="dxa"/>
            <w:vAlign w:val="center"/>
          </w:tcPr>
          <w:p>
            <w:pPr>
              <w:jc w:val="center"/>
            </w:pPr>
            <w:r>
              <w:rPr>
                <w:rFonts w:hint="eastAsia"/>
              </w:rPr>
              <w:t>22</w:t>
            </w:r>
          </w:p>
        </w:tc>
        <w:tc>
          <w:tcPr>
            <w:tcW w:w="1942" w:type="dxa"/>
            <w:vAlign w:val="center"/>
          </w:tcPr>
          <w:p>
            <w:pPr>
              <w:jc w:val="center"/>
            </w:pPr>
            <w:r>
              <w:rPr>
                <w:rFonts w:hint="eastAsia"/>
              </w:rPr>
              <w:t>脚关节模型带</w:t>
            </w:r>
          </w:p>
        </w:tc>
        <w:tc>
          <w:tcPr>
            <w:tcW w:w="4264" w:type="dxa"/>
          </w:tcPr>
          <w:p>
            <w:r>
              <w:rPr>
                <w:rFonts w:hint="eastAsia"/>
              </w:rPr>
              <w:t>模型显示脚部解剖结构,可展示各种脚功能。包含可弯曲的人工韧带。 自然大,有底座。</w:t>
            </w:r>
          </w:p>
        </w:tc>
        <w:tc>
          <w:tcPr>
            <w:tcW w:w="863" w:type="dxa"/>
            <w:vAlign w:val="center"/>
          </w:tcPr>
          <w:p>
            <w:pPr>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572" w:type="dxa"/>
            <w:vAlign w:val="center"/>
          </w:tcPr>
          <w:p>
            <w:pPr>
              <w:jc w:val="center"/>
            </w:pPr>
            <w:r>
              <w:rPr>
                <w:rFonts w:hint="eastAsia"/>
              </w:rPr>
              <w:t>23</w:t>
            </w:r>
          </w:p>
        </w:tc>
        <w:tc>
          <w:tcPr>
            <w:tcW w:w="1942" w:type="dxa"/>
            <w:vAlign w:val="center"/>
          </w:tcPr>
          <w:p>
            <w:pPr>
              <w:jc w:val="center"/>
            </w:pPr>
            <w:r>
              <w:rPr>
                <w:rFonts w:hint="eastAsia"/>
              </w:rPr>
              <w:t>软尺卷</w:t>
            </w:r>
          </w:p>
        </w:tc>
        <w:tc>
          <w:tcPr>
            <w:tcW w:w="4264" w:type="dxa"/>
          </w:tcPr>
          <w:p>
            <w:r>
              <w:rPr>
                <w:rFonts w:hint="eastAsia"/>
              </w:rPr>
              <w:t>常规测量软尺参数。</w:t>
            </w:r>
          </w:p>
        </w:tc>
        <w:tc>
          <w:tcPr>
            <w:tcW w:w="863" w:type="dxa"/>
            <w:vAlign w:val="center"/>
          </w:tcPr>
          <w:p>
            <w:pPr>
              <w:pStyle w:val="23"/>
              <w:jc w:val="center"/>
              <w:rPr>
                <w:color w:val="auto"/>
              </w:rPr>
            </w:pPr>
            <w:r>
              <w:rPr>
                <w:rFonts w:hint="eastAsia"/>
                <w:color w:val="auto"/>
              </w:rPr>
              <w:t>20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8" w:hRule="atLeast"/>
          <w:jc w:val="center"/>
        </w:trPr>
        <w:tc>
          <w:tcPr>
            <w:tcW w:w="572" w:type="dxa"/>
            <w:vAlign w:val="center"/>
          </w:tcPr>
          <w:p>
            <w:pPr>
              <w:jc w:val="center"/>
            </w:pPr>
            <w:r>
              <w:rPr>
                <w:rFonts w:hint="eastAsia"/>
              </w:rPr>
              <w:t>24</w:t>
            </w:r>
          </w:p>
        </w:tc>
        <w:tc>
          <w:tcPr>
            <w:tcW w:w="1942" w:type="dxa"/>
            <w:vAlign w:val="center"/>
          </w:tcPr>
          <w:p>
            <w:pPr>
              <w:jc w:val="center"/>
            </w:pPr>
            <w:r>
              <w:rPr>
                <w:rFonts w:hint="eastAsia"/>
              </w:rPr>
              <w:t>电脑中频电治疗仪</w:t>
            </w:r>
          </w:p>
        </w:tc>
        <w:tc>
          <w:tcPr>
            <w:tcW w:w="4264" w:type="dxa"/>
          </w:tcPr>
          <w:p>
            <w:r>
              <w:rPr>
                <w:rFonts w:hint="eastAsia"/>
              </w:rPr>
              <w:t>1、输出频率：低频：1/8-150Hz；中频: 1-10KHz。</w:t>
            </w:r>
          </w:p>
          <w:p>
            <w:r>
              <w:rPr>
                <w:rFonts w:hint="eastAsia"/>
              </w:rPr>
              <w:t>2、输出波形：低频调制波/中频载波。</w:t>
            </w:r>
          </w:p>
          <w:p>
            <w:r>
              <w:rPr>
                <w:rFonts w:hint="eastAsia"/>
              </w:rPr>
              <w:t>3、调制方式：连续调制/交替调制。</w:t>
            </w:r>
          </w:p>
          <w:p>
            <w:r>
              <w:rPr>
                <w:rFonts w:hint="eastAsia"/>
              </w:rPr>
              <w:t>4、最大输出电流：100m A±10%(负载500Ω)，输出电流调节：按键递增或递减200档(每档0.5mA)。</w:t>
            </w:r>
          </w:p>
          <w:p>
            <w:r>
              <w:rPr>
                <w:rFonts w:hint="eastAsia"/>
              </w:rPr>
              <w:t>5、输出通道：两组4通道,可同步或异步工作。</w:t>
            </w:r>
          </w:p>
          <w:p>
            <w:r>
              <w:rPr>
                <w:rFonts w:hint="eastAsia"/>
              </w:rPr>
              <w:t>6、存储容量：24K字节,内存不少于99种处方。</w:t>
            </w:r>
          </w:p>
          <w:p>
            <w:r>
              <w:rPr>
                <w:rFonts w:hint="eastAsia"/>
              </w:rPr>
              <w:t>7、工作电压：220V±15%, 50Hz，最大功率：40W。</w:t>
            </w:r>
          </w:p>
          <w:p>
            <w:r>
              <w:rPr>
                <w:rFonts w:hint="eastAsia"/>
              </w:rPr>
              <w:t>8、触摸式按键，可同步或异步控制；</w:t>
            </w:r>
          </w:p>
          <w:p>
            <w:r>
              <w:rPr>
                <w:rFonts w:hint="eastAsia"/>
              </w:rPr>
              <w:t>9、多种疗法, 综合应用了音频电流疗法、脉冲调制中频疗法、脉冲调制中频电流疗法、正弦调制中频电流疗法,适应症广、疗效显著。</w:t>
            </w:r>
          </w:p>
          <w:p>
            <w:r>
              <w:rPr>
                <w:rFonts w:hint="eastAsia"/>
              </w:rPr>
              <w:t>10、在治疗过程中使患者有多次的推、拿、按、敲、拨、振颤、抖动等多种脉冲动作的全过程感受。</w:t>
            </w:r>
          </w:p>
          <w:p>
            <w:r>
              <w:rPr>
                <w:rFonts w:hint="eastAsia"/>
              </w:rPr>
              <w:t>11、具备输出的由低频调制的中频电流，频率高、电阻小，作用深，疗效好。既有低频电的特征，又有中频电疗的治疗机理。</w:t>
            </w:r>
          </w:p>
          <w:p>
            <w:r>
              <w:rPr>
                <w:rFonts w:hint="eastAsia"/>
              </w:rPr>
              <w:t>12、局部治疗，穴位治疗、手脚反射疗法，可针对不同疾病灵活掌握配合使用。</w:t>
            </w:r>
          </w:p>
          <w:p>
            <w:r>
              <w:rPr>
                <w:rFonts w:hint="eastAsia"/>
              </w:rPr>
              <w:t>二、配置清单：1、中频主机1台；2、电源线1条；3、电极输出线 4条；4、电极板 8对；5、绑 带 8条；6、说明书 1本；7、合格证1份；8、保修卡1份。</w:t>
            </w:r>
          </w:p>
        </w:tc>
        <w:tc>
          <w:tcPr>
            <w:tcW w:w="863" w:type="dxa"/>
            <w:vAlign w:val="center"/>
          </w:tcPr>
          <w:p>
            <w:pPr>
              <w:jc w:val="center"/>
            </w:pPr>
            <w:r>
              <w:rPr>
                <w:rFonts w:hint="eastAsia"/>
              </w:rPr>
              <w:t>2</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9" w:hRule="atLeast"/>
          <w:jc w:val="center"/>
        </w:trPr>
        <w:tc>
          <w:tcPr>
            <w:tcW w:w="572" w:type="dxa"/>
            <w:vAlign w:val="center"/>
          </w:tcPr>
          <w:p>
            <w:pPr>
              <w:jc w:val="center"/>
            </w:pPr>
            <w:r>
              <w:rPr>
                <w:rFonts w:hint="eastAsia"/>
              </w:rPr>
              <w:t>25</w:t>
            </w:r>
          </w:p>
        </w:tc>
        <w:tc>
          <w:tcPr>
            <w:tcW w:w="1942" w:type="dxa"/>
            <w:vAlign w:val="center"/>
          </w:tcPr>
          <w:p>
            <w:pPr>
              <w:jc w:val="center"/>
            </w:pPr>
            <w:r>
              <w:rPr>
                <w:rFonts w:hint="eastAsia"/>
              </w:rPr>
              <w:t>低频电治疗机</w:t>
            </w:r>
          </w:p>
        </w:tc>
        <w:tc>
          <w:tcPr>
            <w:tcW w:w="4264" w:type="dxa"/>
          </w:tcPr>
          <w:p>
            <w:r>
              <w:rPr>
                <w:rFonts w:hint="eastAsia"/>
              </w:rPr>
              <w:t>1、电源：普通碱性电池或者专用的交流变压器（DC9V，420mA），额定功率：420W。</w:t>
            </w:r>
          </w:p>
          <w:p>
            <w:r>
              <w:rPr>
                <w:rFonts w:hint="eastAsia"/>
              </w:rPr>
              <w:t>2、输出通道：双通道2个，输出强度独立控制。</w:t>
            </w:r>
          </w:p>
          <w:p>
            <w:r>
              <w:rPr>
                <w:rFonts w:hint="eastAsia"/>
              </w:rPr>
              <w:t>3、程序记忆：至少17个预置程序，输出频率：1～400Hz，输出强度：最大99mA。</w:t>
            </w:r>
          </w:p>
          <w:p>
            <w:r>
              <w:rPr>
                <w:rFonts w:hint="eastAsia"/>
              </w:rPr>
              <w:t>4、治疗模式：三种电刺激治疗模式：肌肉电刺激(EMS)；经皮神经电刺激(TENS)和微电流(MCR)</w:t>
            </w:r>
          </w:p>
          <w:p>
            <w:r>
              <w:rPr>
                <w:rFonts w:hint="eastAsia"/>
              </w:rPr>
              <w:t>肌肉电刺激(EMS)模式：可将两个通道配合使用，交替或同步刺激两组肌肉，同时治疗强度和肌肉刺激通电时间，断电时间可根据需要分别调整，经皮神经电刺激(TENS)模式：包含常用的连续波、脉冲波、三角波、方波等治疗波形。</w:t>
            </w:r>
          </w:p>
          <w:p>
            <w:r>
              <w:rPr>
                <w:rFonts w:hint="eastAsia"/>
              </w:rPr>
              <w:t>5、治疗功能：可以通过不同的频率设定开展：吞咽训练；肌力促进训练和低周波镇痛等治疗；脊髓通电法；小脑电刺激(脑循环) 。</w:t>
            </w:r>
          </w:p>
          <w:p>
            <w:r>
              <w:rPr>
                <w:rFonts w:hint="eastAsia"/>
              </w:rPr>
              <w:t>6、输出控制：可调频率范围1~400Hz，调脉宽范围50~300μs。</w:t>
            </w:r>
          </w:p>
          <w:p>
            <w:r>
              <w:rPr>
                <w:rFonts w:hint="eastAsia"/>
              </w:rPr>
              <w:t>7、显示屏：屏幕LCD显示，自动接触控制功能：自检功能、输出异常监控。</w:t>
            </w:r>
          </w:p>
          <w:p>
            <w:r>
              <w:rPr>
                <w:rFonts w:hint="eastAsia"/>
              </w:rPr>
              <w:t>二、配置清单：主机1台、电极线2根 、橡皮电极4只、 电极海棉4只、电源适配器1只、5#干电池6节、绑带（短）1根、绑带（长）1根、使用指导手册1份。</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2" w:hRule="atLeast"/>
          <w:jc w:val="center"/>
        </w:trPr>
        <w:tc>
          <w:tcPr>
            <w:tcW w:w="572" w:type="dxa"/>
            <w:vAlign w:val="center"/>
          </w:tcPr>
          <w:p>
            <w:pPr>
              <w:jc w:val="center"/>
            </w:pPr>
            <w:r>
              <w:rPr>
                <w:rFonts w:hint="eastAsia"/>
              </w:rPr>
              <w:t>26</w:t>
            </w:r>
          </w:p>
        </w:tc>
        <w:tc>
          <w:tcPr>
            <w:tcW w:w="1942" w:type="dxa"/>
            <w:vAlign w:val="center"/>
          </w:tcPr>
          <w:p>
            <w:pPr>
              <w:jc w:val="center"/>
            </w:pPr>
            <w:r>
              <w:rPr>
                <w:rFonts w:hint="eastAsia"/>
              </w:rPr>
              <w:t>直流电治疗机</w:t>
            </w:r>
          </w:p>
        </w:tc>
        <w:tc>
          <w:tcPr>
            <w:tcW w:w="4264" w:type="dxa"/>
          </w:tcPr>
          <w:p>
            <w:r>
              <w:rPr>
                <w:rFonts w:hint="eastAsia"/>
              </w:rPr>
              <w:t>利用电子管或晶体管交流电进行波整流，经滤波电路输出平稳直流电。电压在100伏以下。电流输出0～50mA连续可调。此外，干电池也可作直流电电源。</w:t>
            </w:r>
          </w:p>
          <w:p>
            <w:r>
              <w:rPr>
                <w:rFonts w:hint="eastAsia"/>
              </w:rPr>
              <w:t>2.电极　电极包括金属电极板和衬垫。电极板为薄铅片，0.25～0.5mm，形状大小依治疗部位而定。衬垫用无染色的吸水性好的棉织品制成，</w:t>
            </w:r>
          </w:p>
          <w:p>
            <w:r>
              <w:rPr>
                <w:rFonts w:hint="eastAsia"/>
              </w:rPr>
              <w:t xml:space="preserve"> 3.输出导线　选用绝缘良好的比较柔软的导线，分红、兰色两种，以便区别阴阳极，每条长2米。</w:t>
            </w:r>
          </w:p>
        </w:tc>
        <w:tc>
          <w:tcPr>
            <w:tcW w:w="863" w:type="dxa"/>
            <w:vAlign w:val="center"/>
          </w:tcPr>
          <w:p>
            <w:pPr>
              <w:jc w:val="center"/>
            </w:pPr>
            <w:r>
              <w:rPr>
                <w:rFonts w:hint="eastAsia"/>
              </w:rPr>
              <w:t>2</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4" w:hRule="atLeast"/>
          <w:jc w:val="center"/>
        </w:trPr>
        <w:tc>
          <w:tcPr>
            <w:tcW w:w="572" w:type="dxa"/>
            <w:vAlign w:val="center"/>
          </w:tcPr>
          <w:p>
            <w:pPr>
              <w:jc w:val="center"/>
            </w:pPr>
            <w:r>
              <w:rPr>
                <w:rFonts w:hint="eastAsia"/>
              </w:rPr>
              <w:t>27</w:t>
            </w:r>
          </w:p>
        </w:tc>
        <w:tc>
          <w:tcPr>
            <w:tcW w:w="1942" w:type="dxa"/>
            <w:vAlign w:val="center"/>
          </w:tcPr>
          <w:p>
            <w:pPr>
              <w:jc w:val="center"/>
            </w:pPr>
            <w:r>
              <w:rPr>
                <w:rFonts w:hint="eastAsia"/>
              </w:rPr>
              <w:t>电子针治疗仪</w:t>
            </w:r>
          </w:p>
        </w:tc>
        <w:tc>
          <w:tcPr>
            <w:tcW w:w="4264" w:type="dxa"/>
          </w:tcPr>
          <w:p>
            <w:r>
              <w:rPr>
                <w:rFonts w:hint="eastAsia"/>
              </w:rPr>
              <w:t>输出脉冲波形：非对称双向脉冲波,分连续波、断续波以及疏密波</w:t>
            </w:r>
          </w:p>
          <w:p>
            <w:r>
              <w:rPr>
                <w:rFonts w:hint="eastAsia"/>
              </w:rPr>
              <w:t>输出脉冲路数：六路输出</w:t>
            </w:r>
          </w:p>
          <w:p>
            <w:r>
              <w:rPr>
                <w:rFonts w:hint="eastAsia"/>
              </w:rPr>
              <w:t>输出脉冲频率：</w:t>
            </w:r>
          </w:p>
          <w:p>
            <w:r>
              <w:rPr>
                <w:rFonts w:hint="eastAsia"/>
              </w:rPr>
              <w:t>1. 连续波：频率1-100Hz连续可调</w:t>
            </w:r>
          </w:p>
          <w:p>
            <w:r>
              <w:rPr>
                <w:rFonts w:hint="eastAsia"/>
              </w:rPr>
              <w:t>2. 断续波：续波频率1-100Hz连续可调，断波时间为5秒钟，续波时间为15秒钟</w:t>
            </w:r>
          </w:p>
          <w:p>
            <w:r>
              <w:rPr>
                <w:rFonts w:hint="eastAsia"/>
              </w:rPr>
              <w:t>3. 疏密波：疏波频率是密波频率的1/5，密波频率为5-100Hz可调，疏波时间为5秒钟，密波时间为10秒钟，输出脉冲频允许误差15%</w:t>
            </w:r>
          </w:p>
          <w:p>
            <w:r>
              <w:rPr>
                <w:rFonts w:hint="eastAsia"/>
              </w:rPr>
              <w:t>输出电流极限不大于50mA(500Ω负载）</w:t>
            </w:r>
          </w:p>
          <w:p>
            <w:r>
              <w:rPr>
                <w:rFonts w:hint="eastAsia"/>
              </w:rPr>
              <w:t>输出脉冲宽度不大于0.175ms</w:t>
            </w:r>
          </w:p>
          <w:p>
            <w:r>
              <w:rPr>
                <w:rFonts w:hint="eastAsia"/>
              </w:rPr>
              <w:t>输出功率小于3.5W</w:t>
            </w:r>
          </w:p>
          <w:p>
            <w:r>
              <w:rPr>
                <w:rFonts w:hint="eastAsia"/>
              </w:rPr>
              <w:t>电源电压：DC9V</w:t>
            </w:r>
          </w:p>
          <w:p>
            <w:r>
              <w:rPr>
                <w:rFonts w:hint="eastAsia"/>
              </w:rPr>
              <w:t>电源：输入220V/50Hz 输出DC9V/150mA。</w:t>
            </w:r>
          </w:p>
        </w:tc>
        <w:tc>
          <w:tcPr>
            <w:tcW w:w="863" w:type="dxa"/>
            <w:vAlign w:val="center"/>
          </w:tcPr>
          <w:p>
            <w:pPr>
              <w:jc w:val="center"/>
            </w:pPr>
            <w:r>
              <w:rPr>
                <w:rFonts w:hint="eastAsia"/>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jc w:val="center"/>
        </w:trPr>
        <w:tc>
          <w:tcPr>
            <w:tcW w:w="572" w:type="dxa"/>
            <w:vAlign w:val="center"/>
          </w:tcPr>
          <w:p>
            <w:pPr>
              <w:jc w:val="center"/>
            </w:pPr>
            <w:r>
              <w:rPr>
                <w:rFonts w:hint="eastAsia"/>
              </w:rPr>
              <w:t>28</w:t>
            </w:r>
          </w:p>
        </w:tc>
        <w:tc>
          <w:tcPr>
            <w:tcW w:w="1942" w:type="dxa"/>
            <w:vAlign w:val="center"/>
          </w:tcPr>
          <w:p>
            <w:pPr>
              <w:jc w:val="center"/>
            </w:pPr>
            <w:r>
              <w:rPr>
                <w:rFonts w:hint="eastAsia"/>
              </w:rPr>
              <w:t>功能性电刺激仪</w:t>
            </w:r>
          </w:p>
        </w:tc>
        <w:tc>
          <w:tcPr>
            <w:tcW w:w="4264" w:type="dxa"/>
          </w:tcPr>
          <w:p>
            <w:r>
              <w:rPr>
                <w:rFonts w:hint="eastAsia"/>
              </w:rPr>
              <w:t>频率：频率为1~100Hz</w:t>
            </w:r>
          </w:p>
          <w:p>
            <w:r>
              <w:rPr>
                <w:rFonts w:hint="eastAsia"/>
              </w:rPr>
              <w:t>1. 脉冲： 100~1000</w:t>
            </w:r>
          </w:p>
          <w:p>
            <w:r>
              <w:rPr>
                <w:rFonts w:hint="eastAsia"/>
              </w:rPr>
              <w:t>2 波升/波降：波升是指达到最大电流所需要的时间，波降是指从最大电流回落到断电时所需的时间，波升、波降通常取1~2s。</w:t>
            </w:r>
          </w:p>
          <w:p>
            <w:r>
              <w:rPr>
                <w:rFonts w:hint="eastAsia"/>
              </w:rPr>
              <w:t>3. 使用表面电极时，其电流强度在0mA~100mA之间。</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72" w:type="dxa"/>
            <w:vAlign w:val="center"/>
          </w:tcPr>
          <w:p>
            <w:pPr>
              <w:jc w:val="center"/>
            </w:pPr>
            <w:r>
              <w:rPr>
                <w:rFonts w:hint="eastAsia"/>
              </w:rPr>
              <w:t>29</w:t>
            </w:r>
          </w:p>
        </w:tc>
        <w:tc>
          <w:tcPr>
            <w:tcW w:w="1942" w:type="dxa"/>
            <w:vAlign w:val="center"/>
          </w:tcPr>
          <w:p>
            <w:pPr>
              <w:jc w:val="center"/>
            </w:pPr>
            <w:r>
              <w:rPr>
                <w:rFonts w:hint="eastAsia"/>
              </w:rPr>
              <w:t>超短波电疗仪</w:t>
            </w:r>
          </w:p>
        </w:tc>
        <w:tc>
          <w:tcPr>
            <w:tcW w:w="4264" w:type="dxa"/>
          </w:tcPr>
          <w:p>
            <w:r>
              <w:rPr>
                <w:rFonts w:hint="eastAsia"/>
              </w:rPr>
              <w:t>1、输出功率：200W</w:t>
            </w:r>
          </w:p>
          <w:p>
            <w:r>
              <w:rPr>
                <w:rFonts w:hint="eastAsia"/>
              </w:rPr>
              <w:t>2、工作频率：27.12MHz</w:t>
            </w:r>
          </w:p>
          <w:p>
            <w:r>
              <w:rPr>
                <w:rFonts w:hint="eastAsia"/>
              </w:rPr>
              <w:t>3、治疗时间：分10、15、20、25、30min五档，各档误差+10%</w:t>
            </w:r>
          </w:p>
          <w:p>
            <w:r>
              <w:rPr>
                <w:rFonts w:hint="eastAsia"/>
              </w:rPr>
              <w:t>4、使用电源：a.c.220V，50Hz</w:t>
            </w:r>
          </w:p>
          <w:p>
            <w:r>
              <w:rPr>
                <w:rFonts w:hint="eastAsia"/>
              </w:rPr>
              <w:t>5、输入功率：700VA</w:t>
            </w:r>
          </w:p>
          <w:p>
            <w:r>
              <w:rPr>
                <w:rFonts w:hint="eastAsia"/>
              </w:rPr>
              <w:t>6、工作制：连续工作4h</w:t>
            </w:r>
          </w:p>
          <w:p>
            <w:r>
              <w:rPr>
                <w:rFonts w:hint="eastAsia"/>
              </w:rPr>
              <w:t>7、使用环境：环境温度5℃～40℃，相对湿度≤80%</w:t>
            </w:r>
          </w:p>
          <w:p>
            <w:r>
              <w:rPr>
                <w:rFonts w:hint="eastAsia"/>
              </w:rPr>
              <w:t>二、配置：1、电子管4只；</w:t>
            </w:r>
          </w:p>
          <w:p>
            <w:r>
              <w:rPr>
                <w:rFonts w:hint="eastAsia"/>
              </w:rPr>
              <w:t>2、大、中、小号电极板各1对</w:t>
            </w:r>
          </w:p>
          <w:p>
            <w:r>
              <w:rPr>
                <w:rFonts w:hint="eastAsia"/>
              </w:rPr>
              <w:t>3、输出线2条；</w:t>
            </w:r>
          </w:p>
          <w:p>
            <w:r>
              <w:rPr>
                <w:rFonts w:hint="eastAsia"/>
              </w:rPr>
              <w:t>4、电源线1条；</w:t>
            </w:r>
          </w:p>
          <w:p>
            <w:r>
              <w:rPr>
                <w:rFonts w:hint="eastAsia"/>
              </w:rPr>
              <w:t>5、保险丝管BGXP—10A带脚2只（用于FU-811电子管灯丝保险），BGXP—0.3A 4只（用于直流高压保险）。</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1" w:hRule="atLeast"/>
          <w:jc w:val="center"/>
        </w:trPr>
        <w:tc>
          <w:tcPr>
            <w:tcW w:w="572" w:type="dxa"/>
            <w:vAlign w:val="center"/>
          </w:tcPr>
          <w:p>
            <w:pPr>
              <w:jc w:val="center"/>
            </w:pPr>
            <w:r>
              <w:rPr>
                <w:rFonts w:hint="eastAsia"/>
              </w:rPr>
              <w:t>30</w:t>
            </w:r>
          </w:p>
        </w:tc>
        <w:tc>
          <w:tcPr>
            <w:tcW w:w="1942" w:type="dxa"/>
            <w:vAlign w:val="center"/>
          </w:tcPr>
          <w:p>
            <w:pPr>
              <w:jc w:val="center"/>
            </w:pPr>
            <w:r>
              <w:rPr>
                <w:rFonts w:hint="eastAsia"/>
              </w:rPr>
              <w:t>微波治疗仪</w:t>
            </w:r>
          </w:p>
        </w:tc>
        <w:tc>
          <w:tcPr>
            <w:tcW w:w="4264" w:type="dxa"/>
          </w:tcPr>
          <w:p>
            <w:r>
              <w:rPr>
                <w:rFonts w:hint="eastAsia"/>
              </w:rPr>
              <w:t>1.面板采用液晶显示；</w:t>
            </w:r>
          </w:p>
          <w:p>
            <w:r>
              <w:rPr>
                <w:rFonts w:hint="eastAsia"/>
              </w:rPr>
              <w:t>2.理疗功能：连续输出</w:t>
            </w:r>
          </w:p>
          <w:p>
            <w:r>
              <w:rPr>
                <w:rFonts w:hint="eastAsia"/>
              </w:rPr>
              <w:t>3.电源适应范围：AC：电压220V±10%   频率：50Hz±5%</w:t>
            </w:r>
          </w:p>
          <w:p>
            <w:r>
              <w:rPr>
                <w:rFonts w:hint="eastAsia"/>
              </w:rPr>
              <w:t>4.输出功率：理疗0-60W，治疗0-100W；</w:t>
            </w:r>
          </w:p>
          <w:p>
            <w:r>
              <w:rPr>
                <w:rFonts w:hint="eastAsia"/>
              </w:rPr>
              <w:t>5.时间控制：治疗时：0—99秒，以1秒步进；理疗时：0—30分，以1分步进；</w:t>
            </w:r>
          </w:p>
          <w:p>
            <w:r>
              <w:rPr>
                <w:rFonts w:hint="eastAsia"/>
              </w:rPr>
              <w:t>以上范围内可调；且二者都有报警声响提示；</w:t>
            </w:r>
          </w:p>
          <w:p>
            <w:r>
              <w:rPr>
                <w:rFonts w:hint="eastAsia"/>
              </w:rPr>
              <w:t>6.微波频率： 2450MHz±50 MHz；</w:t>
            </w:r>
          </w:p>
          <w:p>
            <w:r>
              <w:rPr>
                <w:rFonts w:hint="eastAsia"/>
              </w:rPr>
              <w:t>7.整机功率： 580W；</w:t>
            </w:r>
          </w:p>
          <w:p>
            <w:r>
              <w:rPr>
                <w:rFonts w:hint="eastAsia"/>
              </w:rPr>
              <w:t>8.辐射器驻波比： S≤3；</w:t>
            </w:r>
          </w:p>
          <w:p>
            <w:r>
              <w:rPr>
                <w:rFonts w:hint="eastAsia"/>
              </w:rPr>
              <w:t>9.传输线驻波比： S≤1.5；</w:t>
            </w:r>
          </w:p>
          <w:p>
            <w:r>
              <w:rPr>
                <w:rFonts w:hint="eastAsia"/>
              </w:rPr>
              <w:t>10.外壳泄露： ≤10mw/cm2；</w:t>
            </w:r>
          </w:p>
          <w:p>
            <w:r>
              <w:rPr>
                <w:rFonts w:hint="eastAsia"/>
              </w:rPr>
              <w:t>11.无用辐射： ≤10mw/cm2；</w:t>
            </w:r>
          </w:p>
          <w:p>
            <w:r>
              <w:rPr>
                <w:rFonts w:hint="eastAsia"/>
              </w:rPr>
              <w:t>12.具有误操作、过载、温控保护功能，确保安全；</w:t>
            </w:r>
          </w:p>
          <w:p>
            <w:r>
              <w:rPr>
                <w:rFonts w:hint="eastAsia"/>
              </w:rPr>
              <w:t>13．开关控制：由微电脑控制，具有手动与脚踏两种控制模式。</w:t>
            </w:r>
          </w:p>
          <w:p>
            <w:r>
              <w:rPr>
                <w:rFonts w:hint="eastAsia"/>
              </w:rPr>
              <w:t>仪器标准配置：</w:t>
            </w:r>
          </w:p>
          <w:p>
            <w:r>
              <w:rPr>
                <w:rFonts w:hint="eastAsia"/>
              </w:rPr>
              <w:t xml:space="preserve">推车式主机： 1台；            </w:t>
            </w:r>
          </w:p>
          <w:p>
            <w:r>
              <w:rPr>
                <w:rFonts w:hint="eastAsia"/>
              </w:rPr>
              <w:t xml:space="preserve"> 包装箱： 1个；</w:t>
            </w:r>
          </w:p>
          <w:p>
            <w:r>
              <w:rPr>
                <w:rFonts w:hint="eastAsia"/>
              </w:rPr>
              <w:t xml:space="preserve">探头线(理疗)：2根； </w:t>
            </w:r>
          </w:p>
          <w:p>
            <w:r>
              <w:rPr>
                <w:rFonts w:hint="eastAsia"/>
              </w:rPr>
              <w:t>理疗探头：5个；</w:t>
            </w:r>
          </w:p>
          <w:p>
            <w:pPr>
              <w:jc w:val="left"/>
            </w:pPr>
            <w:r>
              <w:rPr>
                <w:rFonts w:hint="eastAsia"/>
              </w:rPr>
              <w:t>电源线：1根                        支架：1个。</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572" w:type="dxa"/>
            <w:vAlign w:val="center"/>
          </w:tcPr>
          <w:p>
            <w:pPr>
              <w:jc w:val="center"/>
            </w:pPr>
            <w:r>
              <w:rPr>
                <w:rFonts w:hint="eastAsia"/>
              </w:rPr>
              <w:t>31</w:t>
            </w:r>
          </w:p>
        </w:tc>
        <w:tc>
          <w:tcPr>
            <w:tcW w:w="1942" w:type="dxa"/>
            <w:vAlign w:val="center"/>
          </w:tcPr>
          <w:p>
            <w:pPr>
              <w:jc w:val="center"/>
            </w:pPr>
            <w:r>
              <w:rPr>
                <w:rFonts w:hint="eastAsia"/>
              </w:rPr>
              <w:t>生物反馈治疗仪</w:t>
            </w:r>
          </w:p>
        </w:tc>
        <w:tc>
          <w:tcPr>
            <w:tcW w:w="4264" w:type="dxa"/>
          </w:tcPr>
          <w:p>
            <w:r>
              <w:rPr>
                <w:rFonts w:hint="eastAsia"/>
              </w:rPr>
              <w:t>1、双通道柜式机型，双通道可同时使用，互不干扰；</w:t>
            </w:r>
          </w:p>
          <w:p>
            <w:r>
              <w:rPr>
                <w:rFonts w:hint="eastAsia"/>
              </w:rPr>
              <w:t>2、具有处方治疗，自由刺激，反馈治疗，等多种功能；</w:t>
            </w:r>
          </w:p>
          <w:p>
            <w:r>
              <w:rPr>
                <w:rFonts w:hint="eastAsia"/>
              </w:rPr>
              <w:t>3、阈值可手动设定和自动设定，根据不同治疗情况下选择；</w:t>
            </w:r>
          </w:p>
          <w:p>
            <w:r>
              <w:rPr>
                <w:rFonts w:hint="eastAsia"/>
              </w:rPr>
              <w:t>4、测量范围：1uV～999uV；</w:t>
            </w:r>
          </w:p>
          <w:p>
            <w:r>
              <w:rPr>
                <w:rFonts w:hint="eastAsia"/>
              </w:rPr>
              <w:t>5、最高分辨率：小于0.2uV；</w:t>
            </w:r>
          </w:p>
          <w:p>
            <w:r>
              <w:rPr>
                <w:rFonts w:hint="eastAsia"/>
              </w:rPr>
              <w:t>6、输入噪声：小于1uV；</w:t>
            </w:r>
          </w:p>
          <w:p>
            <w:r>
              <w:rPr>
                <w:rFonts w:hint="eastAsia"/>
              </w:rPr>
              <w:t>7、共模抑制比：大于100dB；</w:t>
            </w:r>
          </w:p>
          <w:p>
            <w:r>
              <w:rPr>
                <w:rFonts w:hint="eastAsia"/>
              </w:rPr>
              <w:t>8、通频带：120Hz～1000Hz（﹣3dB）；</w:t>
            </w:r>
          </w:p>
          <w:p>
            <w:r>
              <w:rPr>
                <w:rFonts w:hint="eastAsia"/>
              </w:rPr>
              <w:t>9、输出电参数</w:t>
            </w:r>
          </w:p>
          <w:p>
            <w:r>
              <w:rPr>
                <w:rFonts w:hint="eastAsia"/>
              </w:rPr>
              <w:t>a）电流强度0～50mA可调</w:t>
            </w:r>
          </w:p>
          <w:p>
            <w:r>
              <w:rPr>
                <w:rFonts w:hint="eastAsia"/>
              </w:rPr>
              <w:t>b）输出频率为1～120Hz</w:t>
            </w:r>
          </w:p>
          <w:p>
            <w:r>
              <w:rPr>
                <w:rFonts w:hint="eastAsia"/>
              </w:rPr>
              <w:t>c）脉宽为50～500μs</w:t>
            </w:r>
          </w:p>
          <w:p>
            <w:r>
              <w:rPr>
                <w:rFonts w:hint="eastAsia"/>
              </w:rPr>
              <w:t>d）开路输出电压≤500V。</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jc w:val="center"/>
        </w:trPr>
        <w:tc>
          <w:tcPr>
            <w:tcW w:w="572" w:type="dxa"/>
            <w:vAlign w:val="center"/>
          </w:tcPr>
          <w:p>
            <w:pPr>
              <w:widowControl/>
              <w:jc w:val="center"/>
            </w:pPr>
            <w:r>
              <w:rPr>
                <w:rFonts w:hint="eastAsia" w:ascii="宋体" w:hAnsi="宋体" w:cs="宋体"/>
                <w:color w:val="333333"/>
                <w:kern w:val="0"/>
                <w:szCs w:val="24"/>
              </w:rPr>
              <w:t>32</w:t>
            </w:r>
          </w:p>
        </w:tc>
        <w:tc>
          <w:tcPr>
            <w:tcW w:w="1942" w:type="dxa"/>
            <w:vAlign w:val="center"/>
          </w:tcPr>
          <w:p>
            <w:pPr>
              <w:jc w:val="center"/>
            </w:pPr>
            <w:r>
              <w:rPr>
                <w:rFonts w:hint="eastAsia"/>
              </w:rPr>
              <w:t>紫外线治疗仪</w:t>
            </w:r>
          </w:p>
        </w:tc>
        <w:tc>
          <w:tcPr>
            <w:tcW w:w="4264" w:type="dxa"/>
          </w:tcPr>
          <w:p>
            <w:r>
              <w:rPr>
                <w:rFonts w:hint="eastAsia"/>
              </w:rPr>
              <w:t>1、电源电压：单相：220V±10%，50Hz±2%</w:t>
            </w:r>
          </w:p>
          <w:p>
            <w:r>
              <w:rPr>
                <w:rFonts w:hint="eastAsia"/>
              </w:rPr>
              <w:t>输入功率：0.4kW，功率因数cosφ=0.44</w:t>
            </w:r>
          </w:p>
          <w:p>
            <w:r>
              <w:rPr>
                <w:rFonts w:hint="eastAsia"/>
              </w:rPr>
              <w:t>抗干扰滤波器：内置消除干扰电源滤波器</w:t>
            </w:r>
          </w:p>
          <w:p>
            <w:r>
              <w:rPr>
                <w:rFonts w:hint="eastAsia"/>
              </w:rPr>
              <w:t>2、辐射频谱：输出波长310～315nm，峰值波长313nm±2nm</w:t>
            </w:r>
          </w:p>
          <w:p>
            <w:r>
              <w:rPr>
                <w:rFonts w:hint="eastAsia"/>
              </w:rPr>
              <w:t>3、辐射灯管寿命：600～800工作小时</w:t>
            </w:r>
          </w:p>
          <w:p>
            <w:r>
              <w:rPr>
                <w:rFonts w:hint="eastAsia"/>
              </w:rPr>
              <w:t>4、输出功率密度范围：8-11mW/cm2</w:t>
            </w:r>
          </w:p>
          <w:p>
            <w:r>
              <w:rPr>
                <w:rFonts w:hint="eastAsia"/>
              </w:rPr>
              <w:t>5、输出功率密度均匀性：±10%(实测≤5%)</w:t>
            </w:r>
          </w:p>
          <w:p>
            <w:r>
              <w:rPr>
                <w:rFonts w:hint="eastAsia"/>
              </w:rPr>
              <w:t>6、输出功率密度稳定性：±5%(实测≤5%)。</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572" w:type="dxa"/>
            <w:vAlign w:val="center"/>
          </w:tcPr>
          <w:p>
            <w:pPr>
              <w:jc w:val="center"/>
              <w:rPr>
                <w:rFonts w:ascii="宋体" w:hAnsi="宋体" w:cs="宋体"/>
                <w:color w:val="333333"/>
                <w:kern w:val="0"/>
                <w:szCs w:val="24"/>
              </w:rPr>
            </w:pPr>
            <w:r>
              <w:rPr>
                <w:rFonts w:hint="eastAsia"/>
              </w:rPr>
              <w:t>33</w:t>
            </w:r>
          </w:p>
        </w:tc>
        <w:tc>
          <w:tcPr>
            <w:tcW w:w="1942" w:type="dxa"/>
            <w:vAlign w:val="center"/>
          </w:tcPr>
          <w:p>
            <w:pPr>
              <w:jc w:val="center"/>
            </w:pPr>
            <w:r>
              <w:rPr>
                <w:rFonts w:hint="eastAsia"/>
              </w:rPr>
              <w:t>红外线治疗仪</w:t>
            </w:r>
          </w:p>
        </w:tc>
        <w:tc>
          <w:tcPr>
            <w:tcW w:w="4264" w:type="dxa"/>
          </w:tcPr>
          <w:p>
            <w:r>
              <w:rPr>
                <w:rFonts w:hint="eastAsia"/>
              </w:rPr>
              <w:t>产品规格：540x540x1470mm</w:t>
            </w:r>
          </w:p>
          <w:p>
            <w:r>
              <w:rPr>
                <w:rFonts w:hint="eastAsia"/>
              </w:rPr>
              <w:t xml:space="preserve">额定电压/频率：220V～50HZ                额定功率：300W                       </w:t>
            </w:r>
          </w:p>
          <w:p>
            <w:r>
              <w:rPr>
                <w:rFonts w:hint="eastAsia"/>
              </w:rPr>
              <w:t>360度无障碍照射，可长距离治疗患部；</w:t>
            </w:r>
          </w:p>
          <w:p>
            <w:r>
              <w:rPr>
                <w:rFonts w:hint="eastAsia"/>
              </w:rPr>
              <w:t>立式多功能可旋转脚轮，多方位自由伸展。</w:t>
            </w:r>
          </w:p>
        </w:tc>
        <w:tc>
          <w:tcPr>
            <w:tcW w:w="863" w:type="dxa"/>
            <w:vAlign w:val="center"/>
          </w:tcPr>
          <w:p>
            <w:pPr>
              <w:jc w:val="center"/>
            </w:pPr>
            <w:r>
              <w:rPr>
                <w:rFonts w:hint="eastAsia"/>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jc w:val="center"/>
        </w:trPr>
        <w:tc>
          <w:tcPr>
            <w:tcW w:w="572" w:type="dxa"/>
            <w:vAlign w:val="center"/>
          </w:tcPr>
          <w:p>
            <w:pPr>
              <w:jc w:val="center"/>
            </w:pPr>
            <w:r>
              <w:rPr>
                <w:rFonts w:hint="eastAsia"/>
              </w:rPr>
              <w:t>34</w:t>
            </w:r>
          </w:p>
        </w:tc>
        <w:tc>
          <w:tcPr>
            <w:tcW w:w="1942" w:type="dxa"/>
            <w:vAlign w:val="center"/>
          </w:tcPr>
          <w:p>
            <w:pPr>
              <w:jc w:val="center"/>
            </w:pPr>
            <w:r>
              <w:rPr>
                <w:rFonts w:hint="eastAsia"/>
              </w:rPr>
              <w:t>超声波治疗仪</w:t>
            </w:r>
          </w:p>
        </w:tc>
        <w:tc>
          <w:tcPr>
            <w:tcW w:w="4264" w:type="dxa"/>
          </w:tcPr>
          <w:p>
            <w:r>
              <w:rPr>
                <w:rFonts w:hint="eastAsia"/>
              </w:rPr>
              <w:t>超声频率：1MHz</w:t>
            </w:r>
          </w:p>
          <w:p>
            <w:r>
              <w:rPr>
                <w:rFonts w:hint="eastAsia"/>
              </w:rPr>
              <w:t>输出强度：0.1～3W/cm2</w:t>
            </w:r>
          </w:p>
          <w:p>
            <w:r>
              <w:rPr>
                <w:rFonts w:hint="eastAsia"/>
              </w:rPr>
              <w:t>辐射范围：6.0 cm2</w:t>
            </w:r>
          </w:p>
          <w:p>
            <w:r>
              <w:rPr>
                <w:rFonts w:hint="eastAsia"/>
              </w:rPr>
              <w:t>电源220V /2A 50～60Hz</w:t>
            </w:r>
          </w:p>
          <w:p>
            <w:r>
              <w:rPr>
                <w:rFonts w:hint="eastAsia"/>
              </w:rPr>
              <w:t>输入功率：≤50VA</w:t>
            </w:r>
          </w:p>
          <w:p>
            <w:r>
              <w:rPr>
                <w:rFonts w:hint="eastAsia"/>
              </w:rPr>
              <w:t>定时范围：0－15min</w:t>
            </w:r>
          </w:p>
          <w:p>
            <w:r>
              <w:rPr>
                <w:rFonts w:hint="eastAsia"/>
              </w:rPr>
              <w:t>声头直径：70-75px</w:t>
            </w:r>
          </w:p>
          <w:p>
            <w:r>
              <w:rPr>
                <w:rFonts w:hint="eastAsia"/>
              </w:rPr>
              <w:t>输出形式：脉冲式</w:t>
            </w:r>
          </w:p>
          <w:p>
            <w:r>
              <w:rPr>
                <w:rFonts w:hint="eastAsia"/>
              </w:rPr>
              <w:t>输出模式：①CON连续；②5秒间断；③10秒间断；④30秒间断四种模式。</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572" w:type="dxa"/>
            <w:vAlign w:val="center"/>
          </w:tcPr>
          <w:p>
            <w:pPr>
              <w:jc w:val="center"/>
            </w:pPr>
            <w:r>
              <w:rPr>
                <w:rFonts w:hint="eastAsia"/>
              </w:rPr>
              <w:t>35</w:t>
            </w:r>
          </w:p>
        </w:tc>
        <w:tc>
          <w:tcPr>
            <w:tcW w:w="1942" w:type="dxa"/>
            <w:vAlign w:val="center"/>
          </w:tcPr>
          <w:p>
            <w:pPr>
              <w:jc w:val="center"/>
            </w:pPr>
            <w:r>
              <w:rPr>
                <w:rFonts w:hint="eastAsia"/>
              </w:rPr>
              <w:t>蜡疗仪</w:t>
            </w:r>
          </w:p>
        </w:tc>
        <w:tc>
          <w:tcPr>
            <w:tcW w:w="4264" w:type="dxa"/>
          </w:tcPr>
          <w:p>
            <w:r>
              <w:rPr>
                <w:rFonts w:hint="eastAsia"/>
              </w:rPr>
              <w:t>1、 电源：220V±10%  50HZ;</w:t>
            </w:r>
          </w:p>
          <w:p>
            <w:r>
              <w:rPr>
                <w:rFonts w:hint="eastAsia"/>
              </w:rPr>
              <w:t>2、 加热方式：低容温管加热（节能型）</w:t>
            </w:r>
          </w:p>
          <w:p>
            <w:r>
              <w:rPr>
                <w:rFonts w:hint="eastAsia"/>
              </w:rPr>
              <w:t>3、 控温灵敏度：±0.1℃；温控范围：室温-95℃（为安全考虑，系统后台限定高为95℃，不会导致人为增加）；</w:t>
            </w:r>
          </w:p>
          <w:p>
            <w:r>
              <w:rPr>
                <w:rFonts w:hint="eastAsia"/>
              </w:rPr>
              <w:t>4、 显示：显示温度、时间，设备状态；</w:t>
            </w:r>
          </w:p>
          <w:p>
            <w:r>
              <w:rPr>
                <w:rFonts w:hint="eastAsia"/>
              </w:rPr>
              <w:t>5、 安全功能：三重漏电保护，过热保护。</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7" w:hRule="atLeast"/>
          <w:jc w:val="center"/>
        </w:trPr>
        <w:tc>
          <w:tcPr>
            <w:tcW w:w="572" w:type="dxa"/>
            <w:vAlign w:val="center"/>
          </w:tcPr>
          <w:p>
            <w:pPr>
              <w:jc w:val="center"/>
            </w:pPr>
            <w:r>
              <w:rPr>
                <w:rFonts w:hint="eastAsia"/>
              </w:rPr>
              <w:t>36</w:t>
            </w:r>
          </w:p>
        </w:tc>
        <w:tc>
          <w:tcPr>
            <w:tcW w:w="1942" w:type="dxa"/>
            <w:vAlign w:val="center"/>
          </w:tcPr>
          <w:p>
            <w:pPr>
              <w:jc w:val="center"/>
            </w:pPr>
            <w:r>
              <w:rPr>
                <w:rFonts w:hint="eastAsia"/>
              </w:rPr>
              <w:t>微型电脑牵引治疗仪</w:t>
            </w:r>
          </w:p>
        </w:tc>
        <w:tc>
          <w:tcPr>
            <w:tcW w:w="4264" w:type="dxa"/>
          </w:tcPr>
          <w:p>
            <w:r>
              <w:rPr>
                <w:rFonts w:hint="eastAsia"/>
              </w:rPr>
              <w:t>1. 持续牵引：</w:t>
            </w:r>
          </w:p>
          <w:p>
            <w:r>
              <w:rPr>
                <w:rFonts w:hint="eastAsia"/>
              </w:rPr>
              <w:t>牵引力：20N～200N</w:t>
            </w:r>
          </w:p>
          <w:p>
            <w:r>
              <w:rPr>
                <w:rFonts w:hint="eastAsia"/>
              </w:rPr>
              <w:t>牵引时间：0～99min</w:t>
            </w:r>
          </w:p>
          <w:p>
            <w:r>
              <w:rPr>
                <w:rFonts w:hint="eastAsia"/>
              </w:rPr>
              <w:t>2. 间隙牵引：</w:t>
            </w:r>
          </w:p>
          <w:p>
            <w:r>
              <w:rPr>
                <w:rFonts w:hint="eastAsia"/>
              </w:rPr>
              <w:t>⑴牵引力：20N～200N</w:t>
            </w:r>
          </w:p>
          <w:p>
            <w:r>
              <w:rPr>
                <w:rFonts w:hint="eastAsia"/>
              </w:rPr>
              <w:t>⑵间隙放松保持力：20N～150N</w:t>
            </w:r>
          </w:p>
          <w:p>
            <w:r>
              <w:rPr>
                <w:rFonts w:hint="eastAsia"/>
              </w:rPr>
              <w:t>⑶治疗总时间： 0～99min</w:t>
            </w:r>
          </w:p>
          <w:p>
            <w:r>
              <w:rPr>
                <w:rFonts w:hint="eastAsia"/>
              </w:rPr>
              <w:t>⑷间歇牵引时间：0～9min</w:t>
            </w:r>
          </w:p>
          <w:p>
            <w:r>
              <w:rPr>
                <w:rFonts w:hint="eastAsia"/>
              </w:rPr>
              <w:t>⑸间歇放松时间：0～9min</w:t>
            </w:r>
          </w:p>
          <w:p>
            <w:r>
              <w:rPr>
                <w:rFonts w:hint="eastAsia"/>
              </w:rPr>
              <w:t>3. 牵引速度：</w:t>
            </w:r>
          </w:p>
          <w:p>
            <w:r>
              <w:rPr>
                <w:rFonts w:hint="eastAsia"/>
              </w:rPr>
              <w:t>标准速度：3.6mm/s  1/2速度：1.8mm/s</w:t>
            </w:r>
          </w:p>
          <w:p>
            <w:r>
              <w:rPr>
                <w:rFonts w:hint="eastAsia"/>
              </w:rPr>
              <w:t>1/4速度：0.9mm/s</w:t>
            </w:r>
          </w:p>
          <w:p>
            <w:r>
              <w:rPr>
                <w:rFonts w:hint="eastAsia"/>
              </w:rPr>
              <w:t>4. 输入功率：100VA</w:t>
            </w:r>
          </w:p>
          <w:p>
            <w:r>
              <w:rPr>
                <w:rFonts w:hint="eastAsia"/>
              </w:rPr>
              <w:t>5. 熔断器：T0.5AL250VP</w:t>
            </w:r>
          </w:p>
          <w:p>
            <w:r>
              <w:rPr>
                <w:rFonts w:hint="eastAsia"/>
              </w:rPr>
              <w:t>6. 座椅凳面额定承载：≈1500N</w:t>
            </w:r>
          </w:p>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2" w:hRule="atLeast"/>
          <w:jc w:val="center"/>
        </w:trPr>
        <w:tc>
          <w:tcPr>
            <w:tcW w:w="572" w:type="dxa"/>
            <w:vAlign w:val="center"/>
          </w:tcPr>
          <w:p>
            <w:pPr>
              <w:jc w:val="center"/>
            </w:pPr>
            <w:r>
              <w:rPr>
                <w:rFonts w:hint="eastAsia"/>
              </w:rPr>
              <w:t>37</w:t>
            </w:r>
          </w:p>
        </w:tc>
        <w:tc>
          <w:tcPr>
            <w:tcW w:w="1942" w:type="dxa"/>
            <w:vAlign w:val="center"/>
          </w:tcPr>
          <w:p>
            <w:pPr>
              <w:jc w:val="center"/>
            </w:pPr>
            <w:r>
              <w:rPr>
                <w:rFonts w:hint="eastAsia"/>
              </w:rPr>
              <w:t>哑铃与沙袋</w:t>
            </w:r>
          </w:p>
        </w:tc>
        <w:tc>
          <w:tcPr>
            <w:tcW w:w="4264" w:type="dxa"/>
          </w:tcPr>
          <w:p>
            <w:r>
              <w:rPr>
                <w:rFonts w:hint="eastAsia"/>
              </w:rPr>
              <w:t>1、材质：不锈钢球，主体为型钢</w:t>
            </w:r>
          </w:p>
          <w:p>
            <w:r>
              <w:rPr>
                <w:rFonts w:hint="eastAsia"/>
              </w:rPr>
              <w:t>2、钢件表面喷塑</w:t>
            </w:r>
          </w:p>
          <w:p>
            <w:r>
              <w:rPr>
                <w:rFonts w:hint="eastAsia"/>
              </w:rPr>
              <w:t>3、砂袋采用弹性尼龙布制作，0.5、0.75、1、2、2.5kg每种2个</w:t>
            </w:r>
          </w:p>
          <w:p>
            <w:r>
              <w:rPr>
                <w:rFonts w:hint="eastAsia"/>
              </w:rPr>
              <w:t>4、可移动钢架，配四个脚轮</w:t>
            </w:r>
          </w:p>
          <w:p>
            <w:r>
              <w:rPr>
                <w:rFonts w:hint="eastAsia"/>
              </w:rPr>
              <w:t>5、重量约为：22 kg</w:t>
            </w:r>
          </w:p>
          <w:p>
            <w:r>
              <w:rPr>
                <w:rFonts w:hint="eastAsia"/>
              </w:rPr>
              <w:t>6、六角包胶哑铃2-20kg（220kg）附哑铃架</w:t>
            </w:r>
          </w:p>
          <w:p>
            <w:r>
              <w:rPr>
                <w:rFonts w:hint="eastAsia"/>
              </w:rPr>
              <w:t>二、配置：</w:t>
            </w:r>
          </w:p>
          <w:p>
            <w:r>
              <w:rPr>
                <w:rFonts w:hint="eastAsia"/>
              </w:rPr>
              <w:t>1、喷塑支撑架两块；2、砂袋放置架两块；3、5种规格绑式砂袋各两个；4、产品保修卡及说明书一套。</w:t>
            </w:r>
          </w:p>
        </w:tc>
        <w:tc>
          <w:tcPr>
            <w:tcW w:w="863" w:type="dxa"/>
            <w:vAlign w:val="center"/>
          </w:tcPr>
          <w:p>
            <w:pPr>
              <w:jc w:val="center"/>
            </w:pPr>
            <w:r>
              <w:rPr>
                <w:rFonts w:hint="eastAsia"/>
              </w:rPr>
              <w:t>4套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572" w:type="dxa"/>
            <w:vAlign w:val="center"/>
          </w:tcPr>
          <w:p>
            <w:pPr>
              <w:jc w:val="center"/>
            </w:pPr>
            <w:r>
              <w:rPr>
                <w:rFonts w:hint="eastAsia"/>
              </w:rPr>
              <w:t>38</w:t>
            </w:r>
          </w:p>
        </w:tc>
        <w:tc>
          <w:tcPr>
            <w:tcW w:w="1942" w:type="dxa"/>
            <w:vAlign w:val="center"/>
          </w:tcPr>
          <w:p>
            <w:pPr>
              <w:jc w:val="center"/>
            </w:pPr>
            <w:r>
              <w:rPr>
                <w:rFonts w:hint="eastAsia"/>
              </w:rPr>
              <w:t>墙拉力器</w:t>
            </w:r>
          </w:p>
        </w:tc>
        <w:tc>
          <w:tcPr>
            <w:tcW w:w="4264" w:type="dxa"/>
          </w:tcPr>
          <w:p>
            <w:r>
              <w:rPr>
                <w:rFonts w:hint="eastAsia"/>
              </w:rPr>
              <w:t xml:space="preserve">进行四肢抗阻力运动,训练肌肉力量,也可进行关节活动度训练。拉力器个数2个,每个拉力器配6个配重块,每块2kg,最大行程115cm。  </w:t>
            </w:r>
          </w:p>
        </w:tc>
        <w:tc>
          <w:tcPr>
            <w:tcW w:w="863" w:type="dxa"/>
            <w:vAlign w:val="center"/>
          </w:tcPr>
          <w:p>
            <w:pPr>
              <w:jc w:val="center"/>
            </w:pPr>
            <w:r>
              <w:rPr>
                <w:rFonts w:hint="eastAsia"/>
              </w:rPr>
              <w:t>2套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39</w:t>
            </w:r>
          </w:p>
        </w:tc>
        <w:tc>
          <w:tcPr>
            <w:tcW w:w="1942" w:type="dxa"/>
            <w:vAlign w:val="center"/>
          </w:tcPr>
          <w:p>
            <w:pPr>
              <w:jc w:val="center"/>
            </w:pPr>
            <w:r>
              <w:rPr>
                <w:rFonts w:hint="eastAsia"/>
              </w:rPr>
              <w:t>体操棒与抛接球</w:t>
            </w:r>
          </w:p>
        </w:tc>
        <w:tc>
          <w:tcPr>
            <w:tcW w:w="4264" w:type="dxa"/>
          </w:tcPr>
          <w:p>
            <w:r>
              <w:rPr>
                <w:rFonts w:hint="eastAsia"/>
              </w:rPr>
              <w:t xml:space="preserve">通过带棒做操和抛接球活动,改善上肢活动范围,提高肢体协调控制能力及平衡能力 。体操棒数量4个，抛接球￠25cm。数量4个  </w:t>
            </w:r>
          </w:p>
        </w:tc>
        <w:tc>
          <w:tcPr>
            <w:tcW w:w="863" w:type="dxa"/>
            <w:vAlign w:val="center"/>
          </w:tcPr>
          <w:p>
            <w:pPr>
              <w:jc w:val="center"/>
            </w:pPr>
            <w:r>
              <w:rPr>
                <w:rFonts w:hint="eastAsia"/>
              </w:rPr>
              <w:t>8个</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572" w:type="dxa"/>
            <w:vAlign w:val="center"/>
          </w:tcPr>
          <w:p>
            <w:pPr>
              <w:jc w:val="center"/>
            </w:pPr>
            <w:r>
              <w:rPr>
                <w:rFonts w:hint="eastAsia"/>
              </w:rPr>
              <w:t>40</w:t>
            </w:r>
          </w:p>
        </w:tc>
        <w:tc>
          <w:tcPr>
            <w:tcW w:w="1942" w:type="dxa"/>
            <w:vAlign w:val="center"/>
          </w:tcPr>
          <w:p>
            <w:pPr>
              <w:jc w:val="center"/>
            </w:pPr>
            <w:r>
              <w:rPr>
                <w:rFonts w:hint="eastAsia"/>
              </w:rPr>
              <w:t>肋木</w:t>
            </w:r>
          </w:p>
        </w:tc>
        <w:tc>
          <w:tcPr>
            <w:tcW w:w="4264" w:type="dxa"/>
          </w:tcPr>
          <w:p>
            <w:r>
              <w:rPr>
                <w:rFonts w:hint="eastAsia"/>
              </w:rPr>
              <w:t>1、肋木杠直径不小于3.2cm</w:t>
            </w:r>
          </w:p>
          <w:p>
            <w:r>
              <w:rPr>
                <w:rFonts w:hint="eastAsia"/>
              </w:rPr>
              <w:t>2、肋木杠间距离10-12cm</w:t>
            </w:r>
          </w:p>
          <w:p>
            <w:r>
              <w:rPr>
                <w:rFonts w:hint="eastAsia"/>
              </w:rPr>
              <w:t>3、额定载荷不小于135kg</w:t>
            </w:r>
          </w:p>
          <w:p>
            <w:r>
              <w:rPr>
                <w:rFonts w:hint="eastAsia"/>
              </w:rPr>
              <w:t>4、材质：型钢。钢件表面喷塑</w:t>
            </w:r>
          </w:p>
          <w:p>
            <w:r>
              <w:rPr>
                <w:rFonts w:hint="eastAsia"/>
              </w:rPr>
              <w:t>配置：1、肋木一块；2、挂件一块；3、皮套2个；4、喷塑钢架1套；5、产品保修卡及说明书一套。</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8" w:hRule="atLeast"/>
          <w:jc w:val="center"/>
        </w:trPr>
        <w:tc>
          <w:tcPr>
            <w:tcW w:w="572" w:type="dxa"/>
            <w:vAlign w:val="center"/>
          </w:tcPr>
          <w:p>
            <w:pPr>
              <w:jc w:val="center"/>
            </w:pPr>
            <w:r>
              <w:rPr>
                <w:rFonts w:hint="eastAsia"/>
              </w:rPr>
              <w:t>41</w:t>
            </w:r>
          </w:p>
        </w:tc>
        <w:tc>
          <w:tcPr>
            <w:tcW w:w="1942" w:type="dxa"/>
            <w:vAlign w:val="center"/>
          </w:tcPr>
          <w:p>
            <w:pPr>
              <w:jc w:val="center"/>
            </w:pPr>
            <w:r>
              <w:rPr>
                <w:rFonts w:hint="eastAsia"/>
              </w:rPr>
              <w:t>平行杠</w:t>
            </w:r>
          </w:p>
        </w:tc>
        <w:tc>
          <w:tcPr>
            <w:tcW w:w="4264" w:type="dxa"/>
          </w:tcPr>
          <w:p>
            <w:r>
              <w:rPr>
                <w:rFonts w:hint="eastAsia"/>
              </w:rPr>
              <w:t xml:space="preserve">借助上肢帮助进行步态训练,矫正行走中的足外翻、髋外展,增加行走的稳定性。适合于骨关节、神经系统疾病患者及老年人的步态训练。练习中杠的高度和宽度可根据每个患者情况进行调节。高度调节范围79~123cm,宽度调节范围34~64cm,杠杆静载荷不小于135kg,矫正板坡度15°。  </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572" w:type="dxa"/>
            <w:vAlign w:val="center"/>
          </w:tcPr>
          <w:p>
            <w:pPr>
              <w:jc w:val="center"/>
            </w:pPr>
            <w:r>
              <w:rPr>
                <w:rFonts w:hint="eastAsia"/>
              </w:rPr>
              <w:t>42</w:t>
            </w:r>
          </w:p>
        </w:tc>
        <w:tc>
          <w:tcPr>
            <w:tcW w:w="1942" w:type="dxa"/>
            <w:vAlign w:val="center"/>
          </w:tcPr>
          <w:p>
            <w:pPr>
              <w:jc w:val="center"/>
            </w:pPr>
            <w:r>
              <w:rPr>
                <w:rFonts w:hint="eastAsia"/>
              </w:rPr>
              <w:t>训练阶梯</w:t>
            </w:r>
          </w:p>
        </w:tc>
        <w:tc>
          <w:tcPr>
            <w:tcW w:w="4264" w:type="dxa"/>
          </w:tcPr>
          <w:p>
            <w:r>
              <w:rPr>
                <w:rFonts w:hint="eastAsia"/>
              </w:rPr>
              <w:t>相邻台阶距离：10cm。阶梯踏板额定承载：2000N。除可作为不同高度坐具外，也可当简易的训练阶梯用</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jc w:val="center"/>
        </w:trPr>
        <w:tc>
          <w:tcPr>
            <w:tcW w:w="572" w:type="dxa"/>
            <w:vAlign w:val="center"/>
          </w:tcPr>
          <w:p>
            <w:pPr>
              <w:jc w:val="center"/>
            </w:pPr>
            <w:r>
              <w:rPr>
                <w:rFonts w:hint="eastAsia"/>
              </w:rPr>
              <w:t>43</w:t>
            </w:r>
          </w:p>
        </w:tc>
        <w:tc>
          <w:tcPr>
            <w:tcW w:w="1942" w:type="dxa"/>
            <w:vAlign w:val="center"/>
          </w:tcPr>
          <w:p>
            <w:pPr>
              <w:jc w:val="center"/>
              <w:rPr>
                <w:color w:val="000000"/>
              </w:rPr>
            </w:pPr>
            <w:r>
              <w:rPr>
                <w:rFonts w:hint="eastAsia"/>
                <w:color w:val="000000"/>
              </w:rPr>
              <w:t>治疗床</w:t>
            </w:r>
          </w:p>
        </w:tc>
        <w:tc>
          <w:tcPr>
            <w:tcW w:w="4264" w:type="dxa"/>
          </w:tcPr>
          <w:p>
            <w:pPr>
              <w:rPr>
                <w:color w:val="000000"/>
              </w:rPr>
            </w:pPr>
            <w:r>
              <w:rPr>
                <w:rFonts w:hint="eastAsia"/>
                <w:color w:val="000000"/>
              </w:rPr>
              <w:t>1、长约180CM×宽约60CM×高约65CM。</w:t>
            </w:r>
          </w:p>
          <w:p>
            <w:pPr>
              <w:rPr>
                <w:color w:val="000000"/>
              </w:rPr>
            </w:pPr>
            <w:r>
              <w:rPr>
                <w:rFonts w:hint="eastAsia"/>
                <w:color w:val="000000"/>
              </w:rPr>
              <w:t>2、床面厚度约6CM</w:t>
            </w:r>
          </w:p>
          <w:p>
            <w:pPr>
              <w:rPr>
                <w:color w:val="000000"/>
              </w:rPr>
            </w:pPr>
            <w:r>
              <w:rPr>
                <w:rFonts w:hint="eastAsia"/>
                <w:color w:val="000000"/>
              </w:rPr>
              <w:t>3、可升降头部。</w:t>
            </w:r>
          </w:p>
          <w:p>
            <w:pPr>
              <w:rPr>
                <w:color w:val="000000"/>
              </w:rPr>
            </w:pPr>
            <w:r>
              <w:rPr>
                <w:rFonts w:hint="eastAsia"/>
                <w:color w:val="000000"/>
              </w:rPr>
              <w:t>4、床腿间距长约120CM 宽约60CM。</w:t>
            </w:r>
          </w:p>
          <w:p>
            <w:pPr>
              <w:rPr>
                <w:color w:val="000000"/>
              </w:rPr>
            </w:pPr>
            <w:r>
              <w:rPr>
                <w:rFonts w:hint="eastAsia"/>
                <w:color w:val="000000"/>
              </w:rPr>
              <w:t>5、床面采用优质革面，填充厚不小于6CM的优质海绵；床体采用加厚钢材，加固制作。</w:t>
            </w:r>
          </w:p>
          <w:p>
            <w:pPr>
              <w:rPr>
                <w:color w:val="000000"/>
              </w:rPr>
            </w:pPr>
            <w:r>
              <w:rPr>
                <w:rFonts w:hint="eastAsia"/>
                <w:color w:val="000000"/>
              </w:rPr>
              <w:t>配置：1、枕头1只；2、床面1张；3、支架1套。</w:t>
            </w:r>
          </w:p>
        </w:tc>
        <w:tc>
          <w:tcPr>
            <w:tcW w:w="863" w:type="dxa"/>
            <w:vAlign w:val="center"/>
          </w:tcPr>
          <w:p>
            <w:pPr>
              <w:jc w:val="center"/>
              <w:rPr>
                <w:color w:val="000000"/>
              </w:rPr>
            </w:pPr>
            <w:r>
              <w:rPr>
                <w:rFonts w:hint="eastAsia"/>
                <w:color w:val="000000"/>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572" w:type="dxa"/>
            <w:vAlign w:val="center"/>
          </w:tcPr>
          <w:p>
            <w:pPr>
              <w:jc w:val="center"/>
            </w:pPr>
            <w:r>
              <w:rPr>
                <w:rFonts w:hint="eastAsia"/>
              </w:rPr>
              <w:t>44</w:t>
            </w:r>
          </w:p>
        </w:tc>
        <w:tc>
          <w:tcPr>
            <w:tcW w:w="1942" w:type="dxa"/>
            <w:vAlign w:val="center"/>
          </w:tcPr>
          <w:p>
            <w:pPr>
              <w:jc w:val="center"/>
              <w:rPr>
                <w:color w:val="000000"/>
              </w:rPr>
            </w:pPr>
            <w:r>
              <w:rPr>
                <w:rFonts w:hint="eastAsia"/>
                <w:color w:val="000000"/>
              </w:rPr>
              <w:t>治疗凳</w:t>
            </w:r>
          </w:p>
        </w:tc>
        <w:tc>
          <w:tcPr>
            <w:tcW w:w="4264" w:type="dxa"/>
          </w:tcPr>
          <w:p>
            <w:pPr>
              <w:rPr>
                <w:color w:val="000000"/>
              </w:rPr>
            </w:pPr>
            <w:r>
              <w:rPr>
                <w:rFonts w:hint="eastAsia"/>
                <w:color w:val="000000"/>
              </w:rPr>
              <w:t>高度可调节（42～56）cm，带液压油缸，360°旋转，额定承载：2000N</w:t>
            </w:r>
          </w:p>
        </w:tc>
        <w:tc>
          <w:tcPr>
            <w:tcW w:w="863" w:type="dxa"/>
            <w:vAlign w:val="center"/>
          </w:tcPr>
          <w:p>
            <w:pPr>
              <w:jc w:val="center"/>
              <w:rPr>
                <w:color w:val="000000"/>
              </w:rPr>
            </w:pPr>
            <w:r>
              <w:rPr>
                <w:rFonts w:hint="eastAsia"/>
                <w:color w:val="000000"/>
              </w:rPr>
              <w:t>30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572" w:type="dxa"/>
            <w:vAlign w:val="center"/>
          </w:tcPr>
          <w:p>
            <w:pPr>
              <w:jc w:val="center"/>
            </w:pPr>
            <w:r>
              <w:rPr>
                <w:rFonts w:hint="eastAsia"/>
              </w:rPr>
              <w:t>45</w:t>
            </w:r>
          </w:p>
        </w:tc>
        <w:tc>
          <w:tcPr>
            <w:tcW w:w="1942" w:type="dxa"/>
            <w:vAlign w:val="center"/>
          </w:tcPr>
          <w:p>
            <w:pPr>
              <w:jc w:val="center"/>
            </w:pPr>
            <w:r>
              <w:rPr>
                <w:rFonts w:hint="eastAsia"/>
              </w:rPr>
              <w:t>瑜伽垫</w:t>
            </w:r>
          </w:p>
        </w:tc>
        <w:tc>
          <w:tcPr>
            <w:tcW w:w="4264" w:type="dxa"/>
          </w:tcPr>
          <w:p>
            <w:r>
              <w:rPr>
                <w:rFonts w:hint="eastAsia"/>
              </w:rPr>
              <w:t>标准款</w:t>
            </w:r>
          </w:p>
        </w:tc>
        <w:tc>
          <w:tcPr>
            <w:tcW w:w="863" w:type="dxa"/>
            <w:vAlign w:val="center"/>
          </w:tcPr>
          <w:p>
            <w:pPr>
              <w:jc w:val="center"/>
            </w:pPr>
            <w:r>
              <w:rPr>
                <w:rFonts w:hint="eastAsia"/>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72" w:type="dxa"/>
            <w:vAlign w:val="center"/>
          </w:tcPr>
          <w:p>
            <w:pPr>
              <w:jc w:val="center"/>
            </w:pPr>
            <w:r>
              <w:rPr>
                <w:rFonts w:hint="eastAsia"/>
              </w:rPr>
              <w:t>46</w:t>
            </w:r>
          </w:p>
        </w:tc>
        <w:tc>
          <w:tcPr>
            <w:tcW w:w="1942" w:type="dxa"/>
            <w:vAlign w:val="center"/>
          </w:tcPr>
          <w:p>
            <w:pPr>
              <w:jc w:val="center"/>
            </w:pPr>
            <w:r>
              <w:rPr>
                <w:rFonts w:hint="eastAsia"/>
              </w:rPr>
              <w:t>姿势矫正镜</w:t>
            </w:r>
          </w:p>
        </w:tc>
        <w:tc>
          <w:tcPr>
            <w:tcW w:w="4264" w:type="dxa"/>
          </w:tcPr>
          <w:p>
            <w:r>
              <w:rPr>
                <w:rFonts w:hint="eastAsia"/>
              </w:rPr>
              <w:t>用于各种姿势或表情的矫正训练</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572" w:type="dxa"/>
            <w:vAlign w:val="center"/>
          </w:tcPr>
          <w:p>
            <w:pPr>
              <w:jc w:val="center"/>
            </w:pPr>
            <w:r>
              <w:rPr>
                <w:rFonts w:hint="eastAsia"/>
              </w:rPr>
              <w:t>47</w:t>
            </w:r>
          </w:p>
        </w:tc>
        <w:tc>
          <w:tcPr>
            <w:tcW w:w="1942" w:type="dxa"/>
            <w:vAlign w:val="center"/>
          </w:tcPr>
          <w:p>
            <w:pPr>
              <w:jc w:val="center"/>
            </w:pPr>
            <w:r>
              <w:rPr>
                <w:rFonts w:hint="eastAsia"/>
              </w:rPr>
              <w:t>治疗蹦床</w:t>
            </w:r>
          </w:p>
        </w:tc>
        <w:tc>
          <w:tcPr>
            <w:tcW w:w="4264" w:type="dxa"/>
          </w:tcPr>
          <w:p>
            <w:r>
              <w:rPr>
                <w:rFonts w:hint="eastAsia"/>
              </w:rPr>
              <w:t>训练下肢肌力及平衡能力。</w:t>
            </w:r>
          </w:p>
        </w:tc>
        <w:tc>
          <w:tcPr>
            <w:tcW w:w="863" w:type="dxa"/>
            <w:vAlign w:val="center"/>
          </w:tcPr>
          <w:p>
            <w:pPr>
              <w:jc w:val="center"/>
            </w:pPr>
            <w:r>
              <w:rPr>
                <w:rFonts w:hint="eastAsia"/>
              </w:rPr>
              <w:t>2</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572" w:type="dxa"/>
            <w:vAlign w:val="center"/>
          </w:tcPr>
          <w:p>
            <w:pPr>
              <w:jc w:val="center"/>
            </w:pPr>
            <w:r>
              <w:rPr>
                <w:rFonts w:hint="eastAsia"/>
              </w:rPr>
              <w:t>48</w:t>
            </w:r>
          </w:p>
        </w:tc>
        <w:tc>
          <w:tcPr>
            <w:tcW w:w="1942" w:type="dxa"/>
            <w:vAlign w:val="center"/>
          </w:tcPr>
          <w:p>
            <w:pPr>
              <w:jc w:val="center"/>
            </w:pPr>
            <w:r>
              <w:rPr>
                <w:rFonts w:hint="eastAsia"/>
              </w:rPr>
              <w:t>训练球</w:t>
            </w:r>
          </w:p>
        </w:tc>
        <w:tc>
          <w:tcPr>
            <w:tcW w:w="4264" w:type="dxa"/>
          </w:tcPr>
          <w:p>
            <w:r>
              <w:rPr>
                <w:rFonts w:hint="eastAsia"/>
              </w:rPr>
              <w:t>一、巴氏球90-94cm技术参数</w:t>
            </w:r>
          </w:p>
          <w:p>
            <w:r>
              <w:rPr>
                <w:rFonts w:hint="eastAsia"/>
              </w:rPr>
              <w:t>1、材质：PVC；2、密封圆球体；3、无须充气；4、直径90-94cm；5、配置：充气巴氏球1个</w:t>
            </w:r>
          </w:p>
          <w:p>
            <w:r>
              <w:rPr>
                <w:rFonts w:hint="eastAsia"/>
              </w:rPr>
              <w:t>二、巴氏球70-74cm技术参数</w:t>
            </w:r>
          </w:p>
          <w:p>
            <w:r>
              <w:rPr>
                <w:rFonts w:hint="eastAsia"/>
              </w:rPr>
              <w:t>1、材质：PVC；2、密封圆球体；3、无须充气；4、直径70-74cm；5、配置：充气巴氏球1个</w:t>
            </w:r>
          </w:p>
          <w:p>
            <w:r>
              <w:rPr>
                <w:rFonts w:hint="eastAsia"/>
              </w:rPr>
              <w:t>三、弹跳球55cm技术参数</w:t>
            </w:r>
          </w:p>
          <w:p>
            <w:r>
              <w:rPr>
                <w:rFonts w:hint="eastAsia"/>
              </w:rPr>
              <w:t>1、材质：PVC；2、密封圆球体带角；3、无须充气；4、直径50-55cm；5、配置：带2个角50-55cm巴氏球1个。</w:t>
            </w:r>
          </w:p>
          <w:p>
            <w:r>
              <w:rPr>
                <w:rFonts w:hint="eastAsia"/>
              </w:rPr>
              <w:t>四、花生球66cm技术参数</w:t>
            </w:r>
          </w:p>
          <w:p>
            <w:r>
              <w:rPr>
                <w:rFonts w:hint="eastAsia"/>
              </w:rPr>
              <w:t>1、材质：PVC；2、密封花生球体；3、无须充气；4、直径60-66cm；5、配置：花生状巴氏球1个。</w:t>
            </w:r>
          </w:p>
        </w:tc>
        <w:tc>
          <w:tcPr>
            <w:tcW w:w="863" w:type="dxa"/>
            <w:vAlign w:val="center"/>
          </w:tcPr>
          <w:p>
            <w:pPr>
              <w:jc w:val="center"/>
            </w:pPr>
            <w:r>
              <w:rPr>
                <w:rFonts w:hint="eastAsia"/>
              </w:rPr>
              <w:t>4套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jc w:val="center"/>
        </w:trPr>
        <w:tc>
          <w:tcPr>
            <w:tcW w:w="572" w:type="dxa"/>
            <w:vAlign w:val="center"/>
          </w:tcPr>
          <w:p>
            <w:pPr>
              <w:jc w:val="center"/>
            </w:pPr>
            <w:r>
              <w:rPr>
                <w:rFonts w:hint="eastAsia"/>
              </w:rPr>
              <w:t>49</w:t>
            </w:r>
          </w:p>
        </w:tc>
        <w:tc>
          <w:tcPr>
            <w:tcW w:w="1942" w:type="dxa"/>
            <w:vAlign w:val="center"/>
          </w:tcPr>
          <w:p>
            <w:pPr>
              <w:jc w:val="center"/>
            </w:pPr>
            <w:r>
              <w:rPr>
                <w:rFonts w:hint="eastAsia"/>
              </w:rPr>
              <w:t>拐和助行器</w:t>
            </w:r>
          </w:p>
        </w:tc>
        <w:tc>
          <w:tcPr>
            <w:tcW w:w="4264" w:type="dxa"/>
          </w:tcPr>
          <w:p>
            <w:r>
              <w:rPr>
                <w:rFonts w:hint="eastAsia"/>
              </w:rPr>
              <w:t>助行器额定承载质量135kg</w:t>
            </w:r>
          </w:p>
          <w:p>
            <w:r>
              <w:rPr>
                <w:rFonts w:hint="eastAsia"/>
              </w:rPr>
              <w:t>可折叠,可升降，高度可调</w:t>
            </w:r>
          </w:p>
          <w:p>
            <w:r>
              <w:rPr>
                <w:rFonts w:hint="eastAsia"/>
              </w:rPr>
              <w:t>材质：铝合金</w:t>
            </w:r>
          </w:p>
          <w:p>
            <w:r>
              <w:rPr>
                <w:rFonts w:hint="eastAsia"/>
              </w:rPr>
              <w:t>拐包括：四角拐，规格：65-88cm。肘杖，规格：124-144cm。腋杖，规格:113-133cm。</w:t>
            </w:r>
          </w:p>
        </w:tc>
        <w:tc>
          <w:tcPr>
            <w:tcW w:w="863" w:type="dxa"/>
            <w:vAlign w:val="center"/>
          </w:tcPr>
          <w:p>
            <w:pPr>
              <w:jc w:val="center"/>
            </w:pPr>
            <w:r>
              <w:rPr>
                <w:rFonts w:hint="eastAsia"/>
              </w:rPr>
              <w:t>4套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572" w:type="dxa"/>
            <w:vAlign w:val="center"/>
          </w:tcPr>
          <w:p>
            <w:pPr>
              <w:jc w:val="center"/>
            </w:pPr>
            <w:r>
              <w:rPr>
                <w:rFonts w:hint="eastAsia"/>
              </w:rPr>
              <w:t>50</w:t>
            </w:r>
          </w:p>
        </w:tc>
        <w:tc>
          <w:tcPr>
            <w:tcW w:w="1942" w:type="dxa"/>
            <w:vAlign w:val="center"/>
          </w:tcPr>
          <w:p>
            <w:pPr>
              <w:jc w:val="center"/>
            </w:pPr>
            <w:r>
              <w:rPr>
                <w:rFonts w:hint="eastAsia"/>
              </w:rPr>
              <w:t>轮椅</w:t>
            </w:r>
          </w:p>
        </w:tc>
        <w:tc>
          <w:tcPr>
            <w:tcW w:w="4264" w:type="dxa"/>
          </w:tcPr>
          <w:p>
            <w:r>
              <w:rPr>
                <w:rFonts w:hint="eastAsia"/>
              </w:rPr>
              <w:t>车架：厚钢管。车圈：加厚钢圈。外胎：优质橡胶。踏板：加厚钢板。前轮：外圈优质橡胶，内圈轮毂是工程聚丙材料。车闸：3㎜加厚车闸，确保制动效果安全。</w:t>
            </w:r>
          </w:p>
        </w:tc>
        <w:tc>
          <w:tcPr>
            <w:tcW w:w="863" w:type="dxa"/>
            <w:vAlign w:val="center"/>
          </w:tcPr>
          <w:p>
            <w:pPr>
              <w:jc w:val="center"/>
            </w:pPr>
            <w:r>
              <w:rPr>
                <w:rFonts w:hint="eastAsia"/>
              </w:rPr>
              <w:t>4</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572" w:type="dxa"/>
            <w:vAlign w:val="center"/>
          </w:tcPr>
          <w:p>
            <w:pPr>
              <w:jc w:val="center"/>
            </w:pPr>
            <w:r>
              <w:rPr>
                <w:rFonts w:hint="eastAsia"/>
              </w:rPr>
              <w:t>51</w:t>
            </w:r>
          </w:p>
        </w:tc>
        <w:tc>
          <w:tcPr>
            <w:tcW w:w="1942" w:type="dxa"/>
            <w:vAlign w:val="center"/>
          </w:tcPr>
          <w:p>
            <w:pPr>
              <w:jc w:val="center"/>
            </w:pPr>
            <w:r>
              <w:rPr>
                <w:rFonts w:hint="eastAsia"/>
              </w:rPr>
              <w:t>作业治疗台组件</w:t>
            </w:r>
          </w:p>
        </w:tc>
        <w:tc>
          <w:tcPr>
            <w:tcW w:w="4264" w:type="dxa"/>
          </w:tcPr>
          <w:p>
            <w:r>
              <w:rPr>
                <w:rFonts w:hint="eastAsia"/>
              </w:rPr>
              <w:t>1、材质：可移动框架，主体为木架，型钢。</w:t>
            </w:r>
          </w:p>
          <w:p>
            <w:r>
              <w:rPr>
                <w:rFonts w:hint="eastAsia"/>
              </w:rPr>
              <w:t>2、钢件表面喷塑。</w:t>
            </w:r>
          </w:p>
          <w:p>
            <w:r>
              <w:rPr>
                <w:rFonts w:hint="eastAsia"/>
              </w:rPr>
              <w:t>3、三侧板高度可调，调节范围：0-36cm。</w:t>
            </w:r>
          </w:p>
          <w:p>
            <w:r>
              <w:rPr>
                <w:rFonts w:hint="eastAsia"/>
              </w:rPr>
              <w:t>4、OT组合训练车附件:上肢协调功能训练器、分指板、分指板弧形、铁棍插板、木钉板、套圈板、几何插板、动物插板、模拟作业工具、上螺丝、上螺母、手指阶梯、捶球训练器、堆杯、腕部功能训练器、串彩链、旋转套板、手指插球器。</w:t>
            </w:r>
          </w:p>
          <w:p>
            <w:r>
              <w:rPr>
                <w:rFonts w:hint="eastAsia"/>
              </w:rPr>
              <w:t>配置：1、木制OT车1辆；2、不锈钢架1套  脚轮4个；3、黑色塑柄6个；4、产品保修卡及说明书一套。</w:t>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9" w:hRule="atLeast"/>
          <w:jc w:val="center"/>
        </w:trPr>
        <w:tc>
          <w:tcPr>
            <w:tcW w:w="572" w:type="dxa"/>
            <w:vAlign w:val="center"/>
          </w:tcPr>
          <w:p>
            <w:pPr>
              <w:jc w:val="center"/>
            </w:pPr>
            <w:r>
              <w:rPr>
                <w:rFonts w:hint="eastAsia"/>
              </w:rPr>
              <w:t>52</w:t>
            </w:r>
          </w:p>
        </w:tc>
        <w:tc>
          <w:tcPr>
            <w:tcW w:w="1942" w:type="dxa"/>
            <w:vAlign w:val="center"/>
          </w:tcPr>
          <w:p>
            <w:pPr>
              <w:jc w:val="center"/>
            </w:pPr>
            <w:r>
              <w:rPr>
                <w:rFonts w:hint="eastAsia"/>
              </w:rPr>
              <w:t>言语治疗卡片</w:t>
            </w:r>
          </w:p>
        </w:tc>
        <w:tc>
          <w:tcPr>
            <w:tcW w:w="4264" w:type="dxa"/>
          </w:tcPr>
          <w:p>
            <w:r>
              <w:rPr>
                <w:rFonts w:hint="eastAsia"/>
              </w:rPr>
              <w:t>本套用具主要包括语言理解能力评估（词语、词组、句子、短文）训练卡片册和记录词表、词语的简单训练卡片册、语法的简单训练卡片册、句子的简单训练卡片册、会话的简单训练卡片册、语言理解能力训练记录词表、会话的简单训练卡片册和使用手册、奖励贴纸、卡通棋子、电子骰子、使用说明和配套光盘等</w:t>
            </w:r>
          </w:p>
        </w:tc>
        <w:tc>
          <w:tcPr>
            <w:tcW w:w="863" w:type="dxa"/>
            <w:vAlign w:val="center"/>
          </w:tcPr>
          <w:p>
            <w:pPr>
              <w:jc w:val="center"/>
            </w:pPr>
            <w:r>
              <w:rPr>
                <w:rFonts w:hint="eastAsia"/>
              </w:rPr>
              <w:t>2套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572" w:type="dxa"/>
            <w:vAlign w:val="center"/>
          </w:tcPr>
          <w:p>
            <w:pPr>
              <w:jc w:val="center"/>
            </w:pPr>
            <w:r>
              <w:rPr>
                <w:rFonts w:hint="eastAsia"/>
              </w:rPr>
              <w:t>53</w:t>
            </w:r>
          </w:p>
        </w:tc>
        <w:tc>
          <w:tcPr>
            <w:tcW w:w="1942" w:type="dxa"/>
            <w:vAlign w:val="center"/>
          </w:tcPr>
          <w:p>
            <w:pPr>
              <w:jc w:val="center"/>
            </w:pPr>
            <w:r>
              <w:rPr>
                <w:rFonts w:hint="eastAsia"/>
              </w:rPr>
              <w:t>低温热塑材料</w:t>
            </w:r>
          </w:p>
        </w:tc>
        <w:tc>
          <w:tcPr>
            <w:tcW w:w="4264" w:type="dxa"/>
          </w:tcPr>
          <w:p>
            <w:r>
              <w:rPr>
                <w:rFonts w:hint="eastAsia"/>
              </w:rPr>
              <w:t xml:space="preserve">由聚已酸内酯加工成的平板状材料，经物理交联而成，具有低温软化，形状记忆功能。用于制作放疗定位模型，制作康复支具及固定身体关节部分。 </w:t>
            </w:r>
          </w:p>
        </w:tc>
        <w:tc>
          <w:tcPr>
            <w:tcW w:w="863" w:type="dxa"/>
            <w:vAlign w:val="center"/>
          </w:tcPr>
          <w:p>
            <w:pPr>
              <w:jc w:val="center"/>
            </w:pPr>
            <w:r>
              <w:rPr>
                <w:rFonts w:hint="eastAsia"/>
              </w:rPr>
              <w:t>10张</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572" w:type="dxa"/>
            <w:vAlign w:val="center"/>
          </w:tcPr>
          <w:p>
            <w:pPr>
              <w:jc w:val="center"/>
            </w:pPr>
            <w:r>
              <w:rPr>
                <w:rFonts w:hint="eastAsia"/>
              </w:rPr>
              <w:t>54</w:t>
            </w:r>
          </w:p>
        </w:tc>
        <w:tc>
          <w:tcPr>
            <w:tcW w:w="1942" w:type="dxa"/>
            <w:vAlign w:val="center"/>
          </w:tcPr>
          <w:p>
            <w:pPr>
              <w:jc w:val="center"/>
            </w:pPr>
            <w:r>
              <w:rPr>
                <w:rFonts w:hint="eastAsia"/>
              </w:rPr>
              <w:t>恒温加热盘</w:t>
            </w:r>
          </w:p>
        </w:tc>
        <w:tc>
          <w:tcPr>
            <w:tcW w:w="4264" w:type="dxa"/>
          </w:tcPr>
          <w:p>
            <w:r>
              <w:rPr>
                <w:rFonts w:hint="eastAsia"/>
              </w:rPr>
              <w:t>温度范围室温~95(℃)</w:t>
            </w:r>
            <w:r>
              <w:rPr>
                <w:rFonts w:hint="eastAsia"/>
              </w:rPr>
              <w:tab/>
            </w:r>
          </w:p>
          <w:p>
            <w:r>
              <w:rPr>
                <w:rFonts w:hint="eastAsia"/>
              </w:rPr>
              <w:t>温度波动度±0.05(℃)</w:t>
            </w:r>
            <w:r>
              <w:rPr>
                <w:rFonts w:hint="eastAsia"/>
              </w:rPr>
              <w:tab/>
            </w:r>
          </w:p>
          <w:p>
            <w:r>
              <w:rPr>
                <w:rFonts w:hint="eastAsia"/>
              </w:rPr>
              <w:t>槽深度130-160(mm)</w:t>
            </w:r>
            <w:r>
              <w:rPr>
                <w:rFonts w:hint="eastAsia"/>
              </w:rPr>
              <w:tab/>
            </w:r>
          </w:p>
        </w:tc>
        <w:tc>
          <w:tcPr>
            <w:tcW w:w="863" w:type="dxa"/>
            <w:vAlign w:val="center"/>
          </w:tcPr>
          <w:p>
            <w:pPr>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72" w:type="dxa"/>
            <w:vAlign w:val="center"/>
          </w:tcPr>
          <w:p>
            <w:pPr>
              <w:jc w:val="center"/>
            </w:pPr>
            <w:r>
              <w:rPr>
                <w:rFonts w:hint="eastAsia"/>
              </w:rPr>
              <w:t>55</w:t>
            </w:r>
          </w:p>
        </w:tc>
        <w:tc>
          <w:tcPr>
            <w:tcW w:w="1942" w:type="dxa"/>
            <w:vAlign w:val="center"/>
          </w:tcPr>
          <w:p>
            <w:pPr>
              <w:jc w:val="center"/>
            </w:pPr>
            <w:r>
              <w:rPr>
                <w:rFonts w:hint="eastAsia"/>
              </w:rPr>
              <w:t>上下肢支具</w:t>
            </w:r>
          </w:p>
        </w:tc>
        <w:tc>
          <w:tcPr>
            <w:tcW w:w="4264" w:type="dxa"/>
          </w:tcPr>
          <w:p>
            <w:r>
              <w:rPr>
                <w:rFonts w:hint="eastAsia"/>
              </w:rPr>
              <w:t>包含上下肢各个部位的支具。包含上肢支具、长腿支具等若干。</w:t>
            </w:r>
          </w:p>
        </w:tc>
        <w:tc>
          <w:tcPr>
            <w:tcW w:w="863" w:type="dxa"/>
            <w:vAlign w:val="center"/>
          </w:tcPr>
          <w:p>
            <w:pPr>
              <w:jc w:val="center"/>
            </w:pPr>
            <w:r>
              <w:rPr>
                <w:rFonts w:hint="eastAsia"/>
              </w:rPr>
              <w:t>1套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572" w:type="dxa"/>
            <w:vAlign w:val="center"/>
          </w:tcPr>
          <w:p>
            <w:pPr>
              <w:jc w:val="center"/>
            </w:pPr>
            <w:r>
              <w:rPr>
                <w:rFonts w:hint="eastAsia"/>
              </w:rPr>
              <w:t>56</w:t>
            </w:r>
          </w:p>
        </w:tc>
        <w:tc>
          <w:tcPr>
            <w:tcW w:w="1942" w:type="dxa"/>
            <w:vAlign w:val="center"/>
          </w:tcPr>
          <w:p>
            <w:pPr>
              <w:jc w:val="center"/>
            </w:pPr>
            <w:r>
              <w:rPr>
                <w:rFonts w:hint="eastAsia"/>
              </w:rPr>
              <w:t>针、灸、火罐</w:t>
            </w:r>
          </w:p>
        </w:tc>
        <w:tc>
          <w:tcPr>
            <w:tcW w:w="4264" w:type="dxa"/>
          </w:tcPr>
          <w:p>
            <w:r>
              <w:rPr>
                <w:rFonts w:hint="eastAsia"/>
              </w:rPr>
              <w:t>包含一次性的0.5寸、1寸、1.5寸、2寸的针灸针每类至少500根。同时含有不同规格艾条或者艾柱，包含艾柱不同类型的支架。配套一套玻璃火罐，配备可移动操作台。针灸配备废针回收盒。</w:t>
            </w:r>
          </w:p>
        </w:tc>
        <w:tc>
          <w:tcPr>
            <w:tcW w:w="863" w:type="dxa"/>
            <w:vAlign w:val="center"/>
          </w:tcPr>
          <w:p>
            <w:pPr>
              <w:jc w:val="center"/>
            </w:pPr>
            <w:r>
              <w:rPr>
                <w:rFonts w:hint="eastAsia"/>
              </w:rPr>
              <w:t>5套</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572" w:type="dxa"/>
            <w:vAlign w:val="center"/>
          </w:tcPr>
          <w:p>
            <w:pPr>
              <w:jc w:val="center"/>
            </w:pPr>
            <w:r>
              <w:rPr>
                <w:rFonts w:hint="eastAsia"/>
              </w:rPr>
              <w:t>57</w:t>
            </w:r>
          </w:p>
        </w:tc>
        <w:tc>
          <w:tcPr>
            <w:tcW w:w="1942" w:type="dxa"/>
            <w:vAlign w:val="center"/>
          </w:tcPr>
          <w:p>
            <w:pPr>
              <w:jc w:val="center"/>
            </w:pPr>
            <w:r>
              <w:rPr>
                <w:rFonts w:hint="eastAsia"/>
              </w:rPr>
              <w:t>不锈钢仪器车</w:t>
            </w:r>
          </w:p>
        </w:tc>
        <w:tc>
          <w:tcPr>
            <w:tcW w:w="4264" w:type="dxa"/>
          </w:tcPr>
          <w:p>
            <w:r>
              <w:rPr>
                <w:rFonts w:hint="eastAsia"/>
              </w:rPr>
              <w:t>1.全车采用不锈钢制作耐用美观</w:t>
            </w:r>
          </w:p>
          <w:p>
            <w:r>
              <w:rPr>
                <w:rFonts w:hint="eastAsia"/>
              </w:rPr>
              <w:t>2.上下两层面板方便使用</w:t>
            </w:r>
          </w:p>
          <w:p>
            <w:r>
              <w:rPr>
                <w:rFonts w:hint="eastAsia"/>
              </w:rPr>
              <w:t>3.围栏，立柱采用实心不锈钢棒制作结实耐用</w:t>
            </w:r>
          </w:p>
          <w:p>
            <w:r>
              <w:rPr>
                <w:rFonts w:hint="eastAsia"/>
              </w:rPr>
              <w:t>4.配备可刹车静音脚轮。</w:t>
            </w:r>
          </w:p>
          <w:p>
            <w:r>
              <w:rPr>
                <w:rFonts w:hint="eastAsia"/>
              </w:rPr>
              <w:t>5.可加装抽屉。</w:t>
            </w:r>
          </w:p>
        </w:tc>
        <w:tc>
          <w:tcPr>
            <w:tcW w:w="863" w:type="dxa"/>
            <w:vAlign w:val="center"/>
          </w:tcPr>
          <w:p>
            <w:pPr>
              <w:jc w:val="center"/>
            </w:pPr>
            <w:r>
              <w:rPr>
                <w:rFonts w:hint="eastAsia"/>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572" w:type="dxa"/>
            <w:vAlign w:val="center"/>
          </w:tcPr>
          <w:p>
            <w:pPr>
              <w:jc w:val="center"/>
            </w:pPr>
            <w:r>
              <w:rPr>
                <w:rFonts w:hint="eastAsia"/>
              </w:rPr>
              <w:t>58</w:t>
            </w:r>
          </w:p>
        </w:tc>
        <w:tc>
          <w:tcPr>
            <w:tcW w:w="1942" w:type="dxa"/>
            <w:vAlign w:val="center"/>
          </w:tcPr>
          <w:p>
            <w:pPr>
              <w:jc w:val="center"/>
            </w:pPr>
            <w:r>
              <w:rPr>
                <w:rFonts w:hint="eastAsia"/>
              </w:rPr>
              <w:t>铁皮资料柜</w:t>
            </w:r>
          </w:p>
        </w:tc>
        <w:tc>
          <w:tcPr>
            <w:tcW w:w="4264" w:type="dxa"/>
          </w:tcPr>
          <w:p>
            <w:r>
              <w:rPr>
                <w:rFonts w:hint="eastAsia"/>
              </w:rPr>
              <w:t>尺寸大约规格：2000cm*900cm*400cm</w:t>
            </w:r>
          </w:p>
          <w:p>
            <w:r>
              <w:rPr>
                <w:rFonts w:hint="eastAsia"/>
              </w:rPr>
              <w:t>上部配备开合式玻璃门窗。下部配备抽屉和柜子。</w:t>
            </w:r>
          </w:p>
        </w:tc>
        <w:tc>
          <w:tcPr>
            <w:tcW w:w="863" w:type="dxa"/>
            <w:vAlign w:val="center"/>
          </w:tcPr>
          <w:p>
            <w:pPr>
              <w:jc w:val="center"/>
            </w:pPr>
            <w:r>
              <w:rPr>
                <w:rFonts w:hint="eastAsia"/>
              </w:rPr>
              <w:t>6</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572" w:type="dxa"/>
            <w:vAlign w:val="center"/>
          </w:tcPr>
          <w:p>
            <w:pPr>
              <w:jc w:val="center"/>
            </w:pPr>
            <w:r>
              <w:rPr>
                <w:rFonts w:hint="eastAsia"/>
              </w:rPr>
              <w:t>59</w:t>
            </w:r>
          </w:p>
        </w:tc>
        <w:tc>
          <w:tcPr>
            <w:tcW w:w="1942" w:type="dxa"/>
            <w:vAlign w:val="center"/>
          </w:tcPr>
          <w:p>
            <w:pPr>
              <w:jc w:val="center"/>
            </w:pPr>
            <w:r>
              <w:rPr>
                <w:rFonts w:hint="eastAsia"/>
              </w:rPr>
              <w:t>全套弹力带</w:t>
            </w:r>
          </w:p>
        </w:tc>
        <w:tc>
          <w:tcPr>
            <w:tcW w:w="4264" w:type="dxa"/>
          </w:tcPr>
          <w:p>
            <w:r>
              <w:rPr>
                <w:rFonts w:hint="eastAsia"/>
              </w:rPr>
              <w:t>肌肉力量训练弹力带全套，包含不同厚度不同弹性弹力组合。且均采用高强度蛇形拉力筋结构，弹力大，韧性好，能均匀承托负重，在长期负重状态下性能保持良好，耐久不变形</w:t>
            </w:r>
          </w:p>
        </w:tc>
        <w:tc>
          <w:tcPr>
            <w:tcW w:w="863" w:type="dxa"/>
            <w:vAlign w:val="center"/>
          </w:tcPr>
          <w:p>
            <w:pPr>
              <w:pStyle w:val="23"/>
              <w:jc w:val="center"/>
            </w:pPr>
            <w:r>
              <w:rPr>
                <w:rFonts w:hint="eastAsia"/>
                <w:color w:val="auto"/>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572" w:type="dxa"/>
            <w:vAlign w:val="center"/>
          </w:tcPr>
          <w:p>
            <w:pPr>
              <w:jc w:val="center"/>
            </w:pPr>
            <w:r>
              <w:rPr>
                <w:rFonts w:hint="eastAsia"/>
              </w:rPr>
              <w:t>60</w:t>
            </w:r>
          </w:p>
        </w:tc>
        <w:tc>
          <w:tcPr>
            <w:tcW w:w="1942" w:type="dxa"/>
            <w:vAlign w:val="center"/>
          </w:tcPr>
          <w:p>
            <w:pPr>
              <w:jc w:val="center"/>
            </w:pPr>
            <w:r>
              <w:rPr>
                <w:rFonts w:hint="eastAsia"/>
              </w:rPr>
              <w:t>动态关节松动术带</w:t>
            </w:r>
          </w:p>
        </w:tc>
        <w:tc>
          <w:tcPr>
            <w:tcW w:w="4264" w:type="dxa"/>
          </w:tcPr>
          <w:p>
            <w:r>
              <w:rPr>
                <w:rFonts w:hint="eastAsia"/>
              </w:rPr>
              <w:t>用于动态关节松动技术。产品长度不少于3米。</w:t>
            </w:r>
          </w:p>
          <w:p>
            <w:r>
              <w:rPr>
                <w:rFonts w:hint="eastAsia"/>
              </w:rPr>
              <w:t>产品材质：衬垫材质是人造皮革，双线圈锁边加固，金属锁扣坚固耐用，主体织带细密编制，双十字缝合技术，质量可靠，能赠送相关操作视频。</w:t>
            </w:r>
          </w:p>
        </w:tc>
        <w:tc>
          <w:tcPr>
            <w:tcW w:w="863" w:type="dxa"/>
            <w:vAlign w:val="center"/>
          </w:tcPr>
          <w:p>
            <w:pPr>
              <w:pStyle w:val="23"/>
              <w:jc w:val="center"/>
            </w:pPr>
            <w:r>
              <w:rPr>
                <w:rFonts w:hint="eastAsia"/>
                <w:color w:val="auto"/>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72" w:type="dxa"/>
            <w:vAlign w:val="center"/>
          </w:tcPr>
          <w:p>
            <w:pPr>
              <w:jc w:val="center"/>
            </w:pPr>
            <w:r>
              <w:rPr>
                <w:rFonts w:hint="eastAsia"/>
              </w:rPr>
              <w:t>61</w:t>
            </w:r>
          </w:p>
        </w:tc>
        <w:tc>
          <w:tcPr>
            <w:tcW w:w="1942" w:type="dxa"/>
            <w:vAlign w:val="center"/>
          </w:tcPr>
          <w:p>
            <w:pPr>
              <w:jc w:val="center"/>
            </w:pPr>
            <w:r>
              <w:rPr>
                <w:rFonts w:hint="eastAsia"/>
              </w:rPr>
              <w:t>平衡半球</w:t>
            </w:r>
          </w:p>
        </w:tc>
        <w:tc>
          <w:tcPr>
            <w:tcW w:w="4264" w:type="dxa"/>
          </w:tcPr>
          <w:p>
            <w:r>
              <w:rPr>
                <w:rFonts w:hint="eastAsia"/>
              </w:rPr>
              <w:t>训练平衡和协调功能的半球体，底座硬。</w:t>
            </w:r>
          </w:p>
        </w:tc>
        <w:tc>
          <w:tcPr>
            <w:tcW w:w="863" w:type="dxa"/>
            <w:vAlign w:val="center"/>
          </w:tcPr>
          <w:p>
            <w:pPr>
              <w:pStyle w:val="23"/>
              <w:jc w:val="center"/>
            </w:pPr>
            <w:r>
              <w:rPr>
                <w:rFonts w:hint="eastAsia"/>
                <w:color w:val="auto"/>
              </w:rPr>
              <w:t>2</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572" w:type="dxa"/>
            <w:vAlign w:val="center"/>
          </w:tcPr>
          <w:p>
            <w:pPr>
              <w:jc w:val="center"/>
            </w:pPr>
            <w:r>
              <w:rPr>
                <w:rFonts w:hint="eastAsia"/>
              </w:rPr>
              <w:t>62</w:t>
            </w:r>
          </w:p>
        </w:tc>
        <w:tc>
          <w:tcPr>
            <w:tcW w:w="1942" w:type="dxa"/>
            <w:vAlign w:val="center"/>
          </w:tcPr>
          <w:p>
            <w:pPr>
              <w:jc w:val="center"/>
            </w:pPr>
            <w:r>
              <w:rPr>
                <w:rFonts w:hint="eastAsia"/>
              </w:rPr>
              <w:t>瑜伽砖</w:t>
            </w:r>
          </w:p>
        </w:tc>
        <w:tc>
          <w:tcPr>
            <w:tcW w:w="4264" w:type="dxa"/>
          </w:tcPr>
          <w:p>
            <w:r>
              <w:rPr>
                <w:rFonts w:hint="eastAsia"/>
              </w:rPr>
              <w:t>常规瑜伽砖</w:t>
            </w:r>
          </w:p>
        </w:tc>
        <w:tc>
          <w:tcPr>
            <w:tcW w:w="863" w:type="dxa"/>
            <w:vAlign w:val="center"/>
          </w:tcPr>
          <w:p>
            <w:pPr>
              <w:pStyle w:val="23"/>
              <w:jc w:val="center"/>
            </w:pPr>
            <w:r>
              <w:rPr>
                <w:rFonts w:hint="eastAsia"/>
                <w:color w:val="auto"/>
              </w:rPr>
              <w:t>10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572" w:type="dxa"/>
            <w:vAlign w:val="center"/>
          </w:tcPr>
          <w:p>
            <w:pPr>
              <w:jc w:val="center"/>
            </w:pPr>
            <w:r>
              <w:rPr>
                <w:rFonts w:hint="eastAsia"/>
              </w:rPr>
              <w:t>63</w:t>
            </w:r>
          </w:p>
        </w:tc>
        <w:tc>
          <w:tcPr>
            <w:tcW w:w="1942" w:type="dxa"/>
            <w:vAlign w:val="center"/>
          </w:tcPr>
          <w:p>
            <w:pPr>
              <w:jc w:val="center"/>
            </w:pPr>
            <w:r>
              <w:rPr>
                <w:rFonts w:hint="eastAsia"/>
              </w:rPr>
              <w:t>泡沫轴</w:t>
            </w:r>
          </w:p>
        </w:tc>
        <w:tc>
          <w:tcPr>
            <w:tcW w:w="4264" w:type="dxa"/>
          </w:tcPr>
          <w:p>
            <w:r>
              <w:rPr>
                <w:rFonts w:hint="eastAsia"/>
              </w:rPr>
              <w:t>常规泡沫轴尺寸</w:t>
            </w:r>
          </w:p>
        </w:tc>
        <w:tc>
          <w:tcPr>
            <w:tcW w:w="863" w:type="dxa"/>
            <w:vAlign w:val="center"/>
          </w:tcPr>
          <w:p>
            <w:pPr>
              <w:pStyle w:val="23"/>
              <w:jc w:val="center"/>
            </w:pPr>
            <w:r>
              <w:rPr>
                <w:rFonts w:hint="eastAsia"/>
                <w:color w:val="auto"/>
              </w:rPr>
              <w:t>30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72" w:type="dxa"/>
            <w:vAlign w:val="center"/>
          </w:tcPr>
          <w:p>
            <w:pPr>
              <w:jc w:val="center"/>
            </w:pPr>
            <w:r>
              <w:rPr>
                <w:rFonts w:hint="eastAsia"/>
              </w:rPr>
              <w:t>64</w:t>
            </w:r>
          </w:p>
        </w:tc>
        <w:tc>
          <w:tcPr>
            <w:tcW w:w="1942" w:type="dxa"/>
            <w:vAlign w:val="center"/>
          </w:tcPr>
          <w:p>
            <w:pPr>
              <w:jc w:val="center"/>
            </w:pPr>
            <w:r>
              <w:rPr>
                <w:rFonts w:hint="eastAsia"/>
              </w:rPr>
              <w:t>剪刀</w:t>
            </w:r>
          </w:p>
        </w:tc>
        <w:tc>
          <w:tcPr>
            <w:tcW w:w="4264" w:type="dxa"/>
          </w:tcPr>
          <w:p>
            <w:r>
              <w:rPr>
                <w:rFonts w:hint="eastAsia"/>
              </w:rPr>
              <w:t>带锯齿状剪刀，尺寸大约10cm*4cm左右</w:t>
            </w:r>
          </w:p>
        </w:tc>
        <w:tc>
          <w:tcPr>
            <w:tcW w:w="863" w:type="dxa"/>
            <w:vAlign w:val="center"/>
          </w:tcPr>
          <w:p>
            <w:pPr>
              <w:pStyle w:val="23"/>
              <w:jc w:val="center"/>
            </w:pPr>
            <w:r>
              <w:rPr>
                <w:rFonts w:hint="eastAsia"/>
                <w:color w:val="auto"/>
              </w:rPr>
              <w:t>20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72" w:type="dxa"/>
            <w:vAlign w:val="center"/>
          </w:tcPr>
          <w:p>
            <w:pPr>
              <w:jc w:val="center"/>
            </w:pPr>
            <w:r>
              <w:rPr>
                <w:rFonts w:hint="eastAsia"/>
              </w:rPr>
              <w:t>65</w:t>
            </w:r>
          </w:p>
        </w:tc>
        <w:tc>
          <w:tcPr>
            <w:tcW w:w="1942" w:type="dxa"/>
            <w:vAlign w:val="center"/>
          </w:tcPr>
          <w:p>
            <w:pPr>
              <w:jc w:val="center"/>
            </w:pPr>
            <w:r>
              <w:rPr>
                <w:rFonts w:hint="eastAsia"/>
              </w:rPr>
              <w:t>肌内效贴</w:t>
            </w:r>
          </w:p>
        </w:tc>
        <w:tc>
          <w:tcPr>
            <w:tcW w:w="4264" w:type="dxa"/>
          </w:tcPr>
          <w:p>
            <w:r>
              <w:rPr>
                <w:rFonts w:hint="eastAsia"/>
              </w:rPr>
              <w:t>材质：弹力棉布，亚克力胶。标准：复合透气性、弹力标准</w:t>
            </w:r>
          </w:p>
        </w:tc>
        <w:tc>
          <w:tcPr>
            <w:tcW w:w="863" w:type="dxa"/>
            <w:vAlign w:val="center"/>
          </w:tcPr>
          <w:p>
            <w:pPr>
              <w:pStyle w:val="23"/>
              <w:jc w:val="center"/>
            </w:pPr>
            <w:r>
              <w:rPr>
                <w:rFonts w:hint="eastAsia"/>
                <w:color w:val="auto"/>
              </w:rPr>
              <w:t>50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572" w:type="dxa"/>
            <w:vAlign w:val="center"/>
          </w:tcPr>
          <w:p>
            <w:pPr>
              <w:jc w:val="center"/>
            </w:pPr>
            <w:r>
              <w:rPr>
                <w:rFonts w:hint="eastAsia"/>
              </w:rPr>
              <w:t>66</w:t>
            </w:r>
          </w:p>
        </w:tc>
        <w:tc>
          <w:tcPr>
            <w:tcW w:w="1942" w:type="dxa"/>
            <w:vAlign w:val="center"/>
          </w:tcPr>
          <w:p>
            <w:pPr>
              <w:jc w:val="center"/>
            </w:pPr>
            <w:r>
              <w:rPr>
                <w:rFonts w:hint="eastAsia"/>
              </w:rPr>
              <w:t>平衡软垫</w:t>
            </w:r>
          </w:p>
        </w:tc>
        <w:tc>
          <w:tcPr>
            <w:tcW w:w="4264" w:type="dxa"/>
          </w:tcPr>
          <w:p>
            <w:pPr>
              <w:widowControl/>
              <w:spacing w:after="150" w:line="15" w:lineRule="atLeast"/>
            </w:pPr>
            <w:r>
              <w:rPr>
                <w:rFonts w:hint="eastAsia"/>
              </w:rPr>
              <w:t>可充气式平衡软垫，柔软原生PVC，承重至少500KG</w:t>
            </w:r>
          </w:p>
        </w:tc>
        <w:tc>
          <w:tcPr>
            <w:tcW w:w="863" w:type="dxa"/>
            <w:vAlign w:val="center"/>
          </w:tcPr>
          <w:p>
            <w:pPr>
              <w:pStyle w:val="23"/>
              <w:jc w:val="center"/>
            </w:pPr>
            <w:r>
              <w:rPr>
                <w:rFonts w:hint="eastAsia"/>
                <w:color w:val="auto"/>
              </w:rPr>
              <w:t>20</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9" w:hRule="atLeast"/>
          <w:jc w:val="center"/>
        </w:trPr>
        <w:tc>
          <w:tcPr>
            <w:tcW w:w="572" w:type="dxa"/>
            <w:vAlign w:val="center"/>
          </w:tcPr>
          <w:p>
            <w:pPr>
              <w:jc w:val="center"/>
            </w:pPr>
            <w:r>
              <w:rPr>
                <w:rFonts w:hint="eastAsia"/>
              </w:rPr>
              <w:t>67</w:t>
            </w:r>
          </w:p>
        </w:tc>
        <w:tc>
          <w:tcPr>
            <w:tcW w:w="1942" w:type="dxa"/>
            <w:vAlign w:val="center"/>
          </w:tcPr>
          <w:p>
            <w:pPr>
              <w:jc w:val="center"/>
            </w:pPr>
            <w:r>
              <w:rPr>
                <w:rFonts w:hint="eastAsia"/>
              </w:rPr>
              <w:t>股四头肌训练仪</w:t>
            </w:r>
          </w:p>
        </w:tc>
        <w:tc>
          <w:tcPr>
            <w:tcW w:w="4264" w:type="dxa"/>
          </w:tcPr>
          <w:p>
            <w:pPr>
              <w:pStyle w:val="11"/>
              <w:widowControl/>
              <w:spacing w:line="340" w:lineRule="atLeast"/>
              <w:rPr>
                <w:sz w:val="21"/>
              </w:rPr>
            </w:pPr>
            <w:r>
              <w:rPr>
                <w:rFonts w:hint="eastAsia"/>
                <w:sz w:val="21"/>
              </w:rPr>
              <w:t>结构型式：椅架、绑带、小腿垫、升降支架</w:t>
            </w:r>
          </w:p>
          <w:p>
            <w:pPr>
              <w:pStyle w:val="11"/>
              <w:widowControl/>
              <w:spacing w:line="340" w:lineRule="atLeast"/>
              <w:rPr>
                <w:sz w:val="21"/>
              </w:rPr>
            </w:pPr>
            <w:r>
              <w:rPr>
                <w:rFonts w:hint="eastAsia"/>
                <w:sz w:val="21"/>
              </w:rPr>
              <w:t>扶手、分度盘、助力手柄、配重支架、小腿支架、弹簧销、配重块</w:t>
            </w:r>
          </w:p>
          <w:p>
            <w:pPr>
              <w:pStyle w:val="11"/>
              <w:widowControl/>
              <w:spacing w:line="340" w:lineRule="atLeast"/>
              <w:rPr>
                <w:sz w:val="21"/>
              </w:rPr>
            </w:pPr>
            <w:r>
              <w:rPr>
                <w:rFonts w:hint="eastAsia"/>
                <w:sz w:val="21"/>
              </w:rPr>
              <w:t>材质：静电喷塑架、镀烙件、不锈钢、凹凸革</w:t>
            </w:r>
          </w:p>
          <w:p>
            <w:pPr>
              <w:pStyle w:val="11"/>
              <w:widowControl/>
              <w:spacing w:line="340" w:lineRule="atLeast"/>
              <w:rPr>
                <w:sz w:val="21"/>
              </w:rPr>
            </w:pPr>
            <w:r>
              <w:rPr>
                <w:rFonts w:hint="eastAsia"/>
                <w:sz w:val="21"/>
              </w:rPr>
              <w:t>座垫高度（cm）：≈64</w:t>
            </w:r>
          </w:p>
          <w:p>
            <w:pPr>
              <w:pStyle w:val="11"/>
              <w:widowControl/>
              <w:spacing w:line="340" w:lineRule="atLeast"/>
              <w:rPr>
                <w:sz w:val="21"/>
              </w:rPr>
            </w:pPr>
            <w:r>
              <w:rPr>
                <w:rFonts w:hint="eastAsia"/>
                <w:sz w:val="21"/>
              </w:rPr>
              <w:t>扶手宽度(cm)：≈65</w:t>
            </w:r>
          </w:p>
          <w:p>
            <w:pPr>
              <w:pStyle w:val="11"/>
              <w:widowControl/>
              <w:spacing w:line="340" w:lineRule="atLeast"/>
              <w:rPr>
                <w:sz w:val="21"/>
              </w:rPr>
            </w:pPr>
            <w:r>
              <w:rPr>
                <w:rFonts w:hint="eastAsia"/>
                <w:sz w:val="21"/>
              </w:rPr>
              <w:t>升降支架调节范围(cm)：0～15</w:t>
            </w:r>
          </w:p>
          <w:p>
            <w:pPr>
              <w:pStyle w:val="11"/>
              <w:widowControl/>
              <w:spacing w:line="340" w:lineRule="atLeast"/>
              <w:rPr>
                <w:sz w:val="21"/>
              </w:rPr>
            </w:pPr>
            <w:r>
              <w:rPr>
                <w:rFonts w:hint="eastAsia"/>
                <w:sz w:val="21"/>
              </w:rPr>
              <w:t>小腿垫调节范围（cm）：0～47</w:t>
            </w:r>
          </w:p>
          <w:p>
            <w:pPr>
              <w:pStyle w:val="11"/>
              <w:widowControl/>
              <w:spacing w:line="340" w:lineRule="atLeast"/>
              <w:rPr>
                <w:sz w:val="21"/>
              </w:rPr>
            </w:pPr>
            <w:r>
              <w:rPr>
                <w:rFonts w:hint="eastAsia"/>
                <w:sz w:val="21"/>
              </w:rPr>
              <w:t>助小腿支架摆动角度：≥120°</w:t>
            </w:r>
          </w:p>
          <w:p>
            <w:pPr>
              <w:pStyle w:val="11"/>
              <w:widowControl/>
              <w:spacing w:line="340" w:lineRule="atLeast"/>
              <w:rPr>
                <w:sz w:val="21"/>
              </w:rPr>
            </w:pPr>
            <w:r>
              <w:rPr>
                <w:rFonts w:hint="eastAsia"/>
                <w:sz w:val="21"/>
              </w:rPr>
              <w:t>力手柄调节范围（cm）：0～28</w:t>
            </w:r>
          </w:p>
          <w:p>
            <w:pPr>
              <w:pStyle w:val="11"/>
              <w:widowControl/>
              <w:spacing w:line="340" w:lineRule="atLeast"/>
              <w:rPr>
                <w:sz w:val="21"/>
              </w:rPr>
            </w:pPr>
            <w:r>
              <w:rPr>
                <w:rFonts w:hint="eastAsia"/>
                <w:sz w:val="21"/>
              </w:rPr>
              <w:t>座位额定载荷(kg)：≥135</w:t>
            </w:r>
          </w:p>
          <w:p>
            <w:pPr>
              <w:pStyle w:val="11"/>
              <w:widowControl/>
              <w:spacing w:line="340" w:lineRule="atLeast"/>
              <w:rPr>
                <w:sz w:val="21"/>
              </w:rPr>
            </w:pPr>
            <w:r>
              <w:rPr>
                <w:rFonts w:hint="eastAsia"/>
                <w:sz w:val="21"/>
              </w:rPr>
              <w:t>座位垫水平放置时额定载荷(kg)：≥55</w:t>
            </w:r>
          </w:p>
          <w:p>
            <w:pPr>
              <w:pStyle w:val="11"/>
              <w:widowControl/>
              <w:spacing w:line="340" w:lineRule="atLeast"/>
              <w:rPr>
                <w:sz w:val="21"/>
              </w:rPr>
            </w:pPr>
            <w:r>
              <w:rPr>
                <w:rFonts w:hint="eastAsia"/>
                <w:sz w:val="21"/>
              </w:rPr>
              <w:t>配重块质量(kg)：2    配重块数量：4块</w:t>
            </w:r>
          </w:p>
          <w:p>
            <w:pPr>
              <w:pStyle w:val="11"/>
              <w:widowControl/>
              <w:spacing w:line="340" w:lineRule="atLeast"/>
            </w:pPr>
            <w:r>
              <w:rPr>
                <w:rFonts w:hint="eastAsia"/>
                <w:sz w:val="21"/>
              </w:rPr>
              <w:t>参考规格(cm)：≈105×104.5×119</w:t>
            </w:r>
          </w:p>
        </w:tc>
        <w:tc>
          <w:tcPr>
            <w:tcW w:w="863" w:type="dxa"/>
            <w:vAlign w:val="center"/>
          </w:tcPr>
          <w:p>
            <w:pPr>
              <w:pStyle w:val="23"/>
              <w:jc w:val="center"/>
            </w:pPr>
            <w:r>
              <w:rPr>
                <w:rFonts w:hint="eastAsia"/>
              </w:rPr>
              <w:t>1</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572" w:type="dxa"/>
            <w:vAlign w:val="center"/>
          </w:tcPr>
          <w:p>
            <w:pPr>
              <w:jc w:val="center"/>
            </w:pPr>
            <w:r>
              <w:rPr>
                <w:rFonts w:hint="eastAsia"/>
              </w:rPr>
              <w:t>68</w:t>
            </w:r>
          </w:p>
        </w:tc>
        <w:tc>
          <w:tcPr>
            <w:tcW w:w="1942" w:type="dxa"/>
            <w:vAlign w:val="center"/>
          </w:tcPr>
          <w:p>
            <w:pPr>
              <w:jc w:val="center"/>
            </w:pPr>
            <w:r>
              <w:rPr>
                <w:rFonts w:hint="eastAsia"/>
              </w:rPr>
              <w:t>电动正骨枪</w:t>
            </w:r>
          </w:p>
        </w:tc>
        <w:tc>
          <w:tcPr>
            <w:tcW w:w="4264" w:type="dxa"/>
          </w:tcPr>
          <w:p>
            <w:r>
              <w:rPr>
                <w:rFonts w:hint="eastAsia"/>
              </w:rPr>
              <w:t>外线长不少于3m，额定功率45w，额定电压90~250伏，重量0.8KG左右，智能6档可调节。</w:t>
            </w:r>
          </w:p>
        </w:tc>
        <w:tc>
          <w:tcPr>
            <w:tcW w:w="863" w:type="dxa"/>
            <w:vAlign w:val="center"/>
          </w:tcPr>
          <w:p>
            <w:pPr>
              <w:pStyle w:val="23"/>
              <w:jc w:val="center"/>
            </w:pPr>
            <w:r>
              <w:rPr>
                <w:rFonts w:hint="eastAsia"/>
              </w:rPr>
              <w:t>5</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572" w:type="dxa"/>
            <w:vAlign w:val="center"/>
          </w:tcPr>
          <w:p>
            <w:pPr>
              <w:jc w:val="center"/>
            </w:pPr>
            <w:r>
              <w:rPr>
                <w:rFonts w:hint="eastAsia"/>
              </w:rPr>
              <w:t>69</w:t>
            </w:r>
          </w:p>
        </w:tc>
        <w:tc>
          <w:tcPr>
            <w:tcW w:w="1942" w:type="dxa"/>
            <w:vAlign w:val="center"/>
          </w:tcPr>
          <w:p>
            <w:pPr>
              <w:jc w:val="center"/>
            </w:pPr>
            <w:r>
              <w:rPr>
                <w:rFonts w:hint="eastAsia"/>
              </w:rPr>
              <w:t>平衡板</w:t>
            </w:r>
          </w:p>
        </w:tc>
        <w:tc>
          <w:tcPr>
            <w:tcW w:w="4264" w:type="dxa"/>
          </w:tcPr>
          <w:p>
            <w:r>
              <w:t>用途：偏瘫、脑瘫等运动失调患者进行平衡协调训练</w:t>
            </w:r>
          </w:p>
        </w:tc>
        <w:tc>
          <w:tcPr>
            <w:tcW w:w="863" w:type="dxa"/>
            <w:vAlign w:val="center"/>
          </w:tcPr>
          <w:p>
            <w:pPr>
              <w:pStyle w:val="23"/>
              <w:jc w:val="center"/>
            </w:pPr>
            <w:r>
              <w:rPr>
                <w:rFonts w:hint="eastAsia"/>
              </w:rPr>
              <w:t>2</w:t>
            </w:r>
          </w:p>
        </w:tc>
        <w:tc>
          <w:tcPr>
            <w:tcW w:w="1089" w:type="dxa"/>
            <w:vAlign w:val="center"/>
          </w:tcPr>
          <w:p>
            <w:pPr>
              <w:jc w:val="center"/>
            </w:pPr>
            <w:r>
              <w:rPr>
                <w:rFonts w:hint="eastAsia"/>
              </w:rPr>
              <w:t>货物</w:t>
            </w:r>
          </w:p>
        </w:tc>
        <w:tc>
          <w:tcPr>
            <w:tcW w:w="1190" w:type="dxa"/>
            <w:vAlign w:val="center"/>
          </w:tcPr>
          <w:p>
            <w:pPr>
              <w:spacing w:line="240" w:lineRule="exact"/>
              <w:jc w:val="center"/>
            </w:pPr>
          </w:p>
        </w:tc>
      </w:tr>
    </w:tbl>
    <w:p>
      <w:pPr>
        <w:adjustRightInd w:val="0"/>
        <w:snapToGrid w:val="0"/>
        <w:spacing w:line="360" w:lineRule="exact"/>
        <w:rPr>
          <w:rFonts w:ascii="宋体" w:hAnsi="宋体"/>
          <w:b/>
          <w:color w:val="000000"/>
          <w:szCs w:val="24"/>
        </w:rPr>
      </w:pPr>
      <w:r>
        <w:rPr>
          <w:rFonts w:hint="eastAsia" w:ascii="宋体" w:hAnsi="宋体"/>
          <w:b/>
          <w:color w:val="000000"/>
          <w:szCs w:val="24"/>
        </w:rPr>
        <w:t>二、质保期：所有仪器设备均包括免费安装调试和使用培训,质保时间为5年。质保期内需供货方提供一年至少2次定期维护与保养，终身维护确保零配件供应。</w:t>
      </w:r>
    </w:p>
    <w:p>
      <w:pPr>
        <w:adjustRightInd w:val="0"/>
        <w:snapToGrid w:val="0"/>
        <w:spacing w:line="360" w:lineRule="exact"/>
        <w:rPr>
          <w:rFonts w:ascii="宋体" w:hAnsi="宋体"/>
          <w:b/>
          <w:color w:val="000000"/>
          <w:szCs w:val="24"/>
        </w:rPr>
      </w:pPr>
      <w:r>
        <w:rPr>
          <w:rFonts w:hint="eastAsia" w:ascii="宋体" w:hAnsi="宋体"/>
          <w:b/>
          <w:color w:val="000000"/>
          <w:szCs w:val="24"/>
        </w:rPr>
        <w:t xml:space="preserve">三、交货期：30个日历日 </w:t>
      </w:r>
    </w:p>
    <w:p>
      <w:pPr>
        <w:widowControl/>
        <w:jc w:val="left"/>
        <w:rPr>
          <w:b/>
          <w:bCs/>
          <w:sz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Pr>
      <w:bookmarkStart w:id="72" w:name="_Toc23643"/>
      <w:bookmarkStart w:id="73" w:name="_Toc32103"/>
      <w:r>
        <w:rPr>
          <w:rFonts w:hint="eastAsia"/>
        </w:rPr>
        <w:t>第五章 响应文件格式</w:t>
      </w:r>
      <w:bookmarkEnd w:id="72"/>
      <w:bookmarkEnd w:id="73"/>
    </w:p>
    <w:p>
      <w:pPr>
        <w:spacing w:line="360" w:lineRule="auto"/>
        <w:ind w:left="105"/>
        <w:jc w:val="center"/>
        <w:rPr>
          <w:rFonts w:ascii="宋体" w:hAnsi="宋体" w:cstheme="minorBidi"/>
          <w:b/>
          <w:bCs/>
          <w:sz w:val="32"/>
          <w:szCs w:val="32"/>
        </w:rPr>
      </w:pPr>
      <w:bookmarkStart w:id="74" w:name="_Toc257126854"/>
      <w:bookmarkStart w:id="75" w:name="_Toc184794035"/>
    </w:p>
    <w:p>
      <w:pPr>
        <w:spacing w:line="360" w:lineRule="auto"/>
        <w:ind w:left="105"/>
        <w:jc w:val="center"/>
        <w:rPr>
          <w:rFonts w:ascii="宋体" w:hAnsi="宋体" w:cs="宋体"/>
          <w:b/>
          <w:sz w:val="44"/>
          <w:szCs w:val="44"/>
        </w:rPr>
      </w:pPr>
      <w:r>
        <w:rPr>
          <w:rFonts w:hint="eastAsia" w:ascii="宋体" w:hAnsi="宋体" w:cs="宋体"/>
          <w:b/>
          <w:sz w:val="44"/>
          <w:szCs w:val="44"/>
        </w:rPr>
        <w:t>陕西学前师范学院体质评价与运动干预实践教学创新平台建设项目</w:t>
      </w:r>
    </w:p>
    <w:p>
      <w:pPr>
        <w:pStyle w:val="2"/>
      </w:pPr>
    </w:p>
    <w:p>
      <w:pPr>
        <w:pStyle w:val="2"/>
      </w:pPr>
    </w:p>
    <w:p>
      <w:pPr>
        <w:pStyle w:val="2"/>
      </w:pPr>
    </w:p>
    <w:p>
      <w:pPr>
        <w:pStyle w:val="2"/>
      </w:pPr>
    </w:p>
    <w:p>
      <w:pPr>
        <w:spacing w:line="360" w:lineRule="auto"/>
        <w:ind w:left="105"/>
        <w:jc w:val="center"/>
        <w:rPr>
          <w:rFonts w:ascii="宋体" w:hAnsi="宋体"/>
          <w:b/>
          <w:bCs/>
          <w:sz w:val="52"/>
        </w:rPr>
      </w:pPr>
      <w:r>
        <w:rPr>
          <w:rFonts w:hint="eastAsia" w:ascii="宋体" w:hAnsi="宋体"/>
          <w:b/>
          <w:bCs/>
          <w:sz w:val="52"/>
        </w:rPr>
        <w:t>响应文件</w:t>
      </w:r>
    </w:p>
    <w:p>
      <w:pPr>
        <w:spacing w:line="360" w:lineRule="auto"/>
        <w:ind w:left="105"/>
        <w:jc w:val="center"/>
        <w:rPr>
          <w:rFonts w:ascii="宋体" w:hAnsi="宋体"/>
          <w:b/>
          <w:bCs/>
          <w:sz w:val="28"/>
          <w:szCs w:val="28"/>
        </w:rPr>
      </w:pPr>
      <w:r>
        <w:rPr>
          <w:rFonts w:hint="eastAsia" w:ascii="宋体" w:hAnsi="宋体"/>
          <w:b/>
          <w:sz w:val="28"/>
          <w:szCs w:val="28"/>
        </w:rPr>
        <w:t>项目编号</w:t>
      </w:r>
      <w:r>
        <w:rPr>
          <w:rFonts w:hint="eastAsia" w:ascii="宋体" w:hAnsi="宋体"/>
          <w:b/>
          <w:bCs/>
          <w:sz w:val="28"/>
          <w:szCs w:val="28"/>
        </w:rPr>
        <w:t>：</w:t>
      </w:r>
      <w:r>
        <w:rPr>
          <w:rFonts w:hint="eastAsia" w:ascii="宋体" w:hAnsi="宋体"/>
          <w:b/>
          <w:sz w:val="28"/>
          <w:szCs w:val="28"/>
        </w:rPr>
        <w:t>SXZC-ZB-2019033</w:t>
      </w: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ind w:left="1296" w:leftChars="540"/>
        <w:rPr>
          <w:rFonts w:ascii="宋体" w:hAnsi="宋体"/>
          <w:b/>
          <w:color w:val="000000"/>
          <w:sz w:val="28"/>
          <w:szCs w:val="22"/>
        </w:rPr>
      </w:pPr>
      <w:r>
        <w:rPr>
          <w:rFonts w:hint="eastAsia" w:ascii="宋体" w:hAnsi="宋体"/>
          <w:b/>
          <w:color w:val="000000"/>
          <w:kern w:val="22"/>
          <w:sz w:val="28"/>
        </w:rPr>
        <w:t>供   应   商</w:t>
      </w:r>
      <w:r>
        <w:rPr>
          <w:rFonts w:hint="eastAsia" w:ascii="宋体" w:hAnsi="宋体"/>
          <w:b/>
          <w:color w:val="000000"/>
          <w:sz w:val="28"/>
        </w:rPr>
        <w:t>：</w:t>
      </w:r>
      <w:r>
        <w:rPr>
          <w:rFonts w:hint="eastAsia" w:ascii="宋体" w:hAnsi="宋体"/>
          <w:b/>
          <w:color w:val="000000"/>
          <w:sz w:val="28"/>
          <w:u w:val="single"/>
        </w:rPr>
        <w:t xml:space="preserve">                           （盖章）</w:t>
      </w:r>
    </w:p>
    <w:p>
      <w:pPr>
        <w:spacing w:line="360" w:lineRule="auto"/>
        <w:ind w:left="1296" w:leftChars="540"/>
        <w:rPr>
          <w:rFonts w:ascii="宋体" w:hAnsi="宋体"/>
          <w:b/>
          <w:color w:val="000000"/>
          <w:sz w:val="28"/>
        </w:rPr>
      </w:pPr>
      <w:r>
        <w:rPr>
          <w:rFonts w:hint="eastAsia" w:ascii="宋体" w:hAnsi="宋体"/>
          <w:b/>
          <w:color w:val="000000"/>
          <w:sz w:val="28"/>
        </w:rPr>
        <w:t>法人代表人或</w:t>
      </w:r>
    </w:p>
    <w:p>
      <w:pPr>
        <w:spacing w:line="360" w:lineRule="auto"/>
        <w:ind w:left="1296" w:leftChars="540"/>
        <w:rPr>
          <w:rFonts w:ascii="宋体" w:hAnsi="宋体"/>
          <w:b/>
          <w:color w:val="000000"/>
          <w:sz w:val="28"/>
        </w:rPr>
      </w:pPr>
      <w:r>
        <w:rPr>
          <w:rFonts w:hint="eastAsia" w:ascii="宋体" w:hAnsi="宋体"/>
          <w:b/>
          <w:color w:val="000000"/>
          <w:sz w:val="28"/>
        </w:rPr>
        <w:t>其委托代理人：</w:t>
      </w:r>
      <w:r>
        <w:rPr>
          <w:rFonts w:hint="eastAsia" w:ascii="宋体" w:hAnsi="宋体"/>
          <w:b/>
          <w:color w:val="000000"/>
          <w:sz w:val="28"/>
          <w:u w:val="single"/>
        </w:rPr>
        <w:t xml:space="preserve">                     （签字或盖章）</w:t>
      </w:r>
    </w:p>
    <w:p>
      <w:pPr>
        <w:spacing w:line="360" w:lineRule="auto"/>
        <w:ind w:left="1296" w:leftChars="540"/>
        <w:rPr>
          <w:rFonts w:ascii="宋体" w:hAnsi="宋体"/>
          <w:b/>
          <w:sz w:val="36"/>
          <w:szCs w:val="36"/>
        </w:rPr>
      </w:pPr>
      <w:r>
        <w:rPr>
          <w:rFonts w:hint="eastAsia" w:ascii="宋体" w:hAnsi="宋体"/>
          <w:b/>
          <w:color w:val="000000"/>
          <w:sz w:val="28"/>
        </w:rPr>
        <w:t>日        期：           年   月   日</w:t>
      </w:r>
      <w:bookmarkEnd w:id="74"/>
      <w:bookmarkEnd w:id="75"/>
    </w:p>
    <w:p>
      <w:pPr>
        <w:widowControl/>
        <w:jc w:val="left"/>
        <w:rPr>
          <w:rFonts w:ascii="宋体" w:hAnsi="宋体"/>
          <w:b/>
          <w:sz w:val="44"/>
          <w:szCs w:val="44"/>
        </w:rPr>
      </w:pPr>
      <w:r>
        <w:rPr>
          <w:rFonts w:ascii="宋体" w:hAnsi="宋体"/>
          <w:b/>
          <w:sz w:val="44"/>
          <w:szCs w:val="44"/>
        </w:rPr>
        <w:br w:type="page"/>
      </w:r>
    </w:p>
    <w:p>
      <w:pPr>
        <w:spacing w:line="480" w:lineRule="auto"/>
        <w:jc w:val="center"/>
        <w:rPr>
          <w:rFonts w:ascii="宋体" w:hAnsi="宋体"/>
          <w:b/>
          <w:sz w:val="44"/>
          <w:szCs w:val="44"/>
        </w:rPr>
      </w:pPr>
      <w:r>
        <w:rPr>
          <w:rFonts w:hint="eastAsia" w:ascii="宋体" w:hAnsi="宋体"/>
          <w:b/>
          <w:sz w:val="44"/>
          <w:szCs w:val="44"/>
        </w:rPr>
        <w:t>目 录</w:t>
      </w:r>
    </w:p>
    <w:p>
      <w:pPr>
        <w:spacing w:line="360" w:lineRule="auto"/>
        <w:ind w:left="809" w:leftChars="337"/>
        <w:jc w:val="left"/>
        <w:rPr>
          <w:rFonts w:ascii="宋体" w:hAnsi="宋体"/>
          <w:bCs/>
          <w:sz w:val="28"/>
          <w:szCs w:val="22"/>
        </w:rPr>
      </w:pPr>
      <w:r>
        <w:rPr>
          <w:rFonts w:hint="eastAsia" w:ascii="宋体" w:hAnsi="宋体"/>
          <w:bCs/>
          <w:sz w:val="28"/>
        </w:rPr>
        <w:t>一、法定代表人资格证明</w:t>
      </w:r>
    </w:p>
    <w:p>
      <w:pPr>
        <w:spacing w:line="360" w:lineRule="auto"/>
        <w:ind w:left="809" w:leftChars="337"/>
        <w:jc w:val="left"/>
        <w:rPr>
          <w:rFonts w:ascii="宋体" w:hAnsi="宋体"/>
          <w:bCs/>
          <w:sz w:val="28"/>
        </w:rPr>
      </w:pPr>
      <w:r>
        <w:rPr>
          <w:rFonts w:hint="eastAsia" w:ascii="宋体" w:hAnsi="宋体"/>
          <w:bCs/>
          <w:sz w:val="28"/>
        </w:rPr>
        <w:t>二、法人授权委托书</w:t>
      </w:r>
    </w:p>
    <w:p>
      <w:pPr>
        <w:spacing w:line="360" w:lineRule="auto"/>
        <w:ind w:left="809" w:leftChars="337"/>
        <w:jc w:val="left"/>
        <w:rPr>
          <w:rFonts w:ascii="宋体" w:hAnsi="宋体"/>
          <w:bCs/>
          <w:sz w:val="28"/>
        </w:rPr>
      </w:pPr>
      <w:r>
        <w:rPr>
          <w:rFonts w:hint="eastAsia" w:ascii="宋体" w:hAnsi="宋体"/>
          <w:bCs/>
          <w:sz w:val="28"/>
        </w:rPr>
        <w:t>三、磋商函</w:t>
      </w:r>
    </w:p>
    <w:p>
      <w:pPr>
        <w:spacing w:line="360" w:lineRule="auto"/>
        <w:ind w:left="809" w:leftChars="337"/>
        <w:jc w:val="left"/>
        <w:rPr>
          <w:rFonts w:ascii="宋体" w:hAnsi="宋体"/>
          <w:bCs/>
          <w:sz w:val="28"/>
        </w:rPr>
      </w:pPr>
      <w:r>
        <w:rPr>
          <w:rFonts w:hint="eastAsia" w:ascii="宋体" w:hAnsi="宋体"/>
          <w:bCs/>
          <w:sz w:val="28"/>
        </w:rPr>
        <w:t>四、磋商一览表</w:t>
      </w:r>
    </w:p>
    <w:p>
      <w:pPr>
        <w:spacing w:line="360" w:lineRule="auto"/>
        <w:ind w:left="809" w:leftChars="337"/>
        <w:jc w:val="left"/>
        <w:rPr>
          <w:rFonts w:ascii="宋体" w:hAnsi="宋体"/>
          <w:bCs/>
          <w:sz w:val="28"/>
        </w:rPr>
      </w:pPr>
      <w:r>
        <w:rPr>
          <w:rFonts w:hint="eastAsia" w:ascii="宋体" w:hAnsi="宋体"/>
          <w:bCs/>
          <w:sz w:val="28"/>
        </w:rPr>
        <w:t>五、供应商资质证明文件</w:t>
      </w:r>
    </w:p>
    <w:p>
      <w:pPr>
        <w:spacing w:line="360" w:lineRule="auto"/>
        <w:ind w:left="809" w:leftChars="337"/>
        <w:jc w:val="left"/>
        <w:rPr>
          <w:rFonts w:ascii="宋体" w:hAnsi="宋体"/>
          <w:bCs/>
          <w:sz w:val="28"/>
        </w:rPr>
      </w:pPr>
      <w:r>
        <w:rPr>
          <w:rFonts w:hint="eastAsia" w:ascii="宋体" w:hAnsi="宋体"/>
          <w:bCs/>
          <w:sz w:val="28"/>
        </w:rPr>
        <w:t>六、磋商响应方案说明书</w:t>
      </w:r>
    </w:p>
    <w:p>
      <w:pPr>
        <w:spacing w:line="360" w:lineRule="auto"/>
        <w:ind w:left="809" w:leftChars="337"/>
        <w:jc w:val="left"/>
        <w:rPr>
          <w:rFonts w:ascii="宋体" w:hAnsi="宋体"/>
          <w:bCs/>
          <w:sz w:val="28"/>
        </w:rPr>
      </w:pPr>
      <w:r>
        <w:rPr>
          <w:rFonts w:hint="eastAsia" w:ascii="宋体" w:hAnsi="宋体"/>
          <w:bCs/>
          <w:sz w:val="28"/>
        </w:rPr>
        <w:t>七、拒绝政府采购领域商业贿赂承诺书</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widowControl/>
        <w:jc w:val="left"/>
        <w:rPr>
          <w:rFonts w:ascii="宋体" w:hAnsi="宋体"/>
          <w:b/>
          <w:bCs/>
          <w:sz w:val="28"/>
          <w:szCs w:val="22"/>
        </w:rPr>
      </w:pPr>
      <w:r>
        <w:rPr>
          <w:rFonts w:hint="eastAsia" w:ascii="宋体" w:hAnsi="宋体"/>
          <w:b/>
          <w:bCs/>
          <w:sz w:val="28"/>
        </w:rPr>
        <w:br w:type="page"/>
      </w:r>
      <w:bookmarkStart w:id="76" w:name="_Toc184704625"/>
      <w:bookmarkStart w:id="77" w:name="_Toc32675"/>
      <w:bookmarkStart w:id="78" w:name="_Toc184704698"/>
    </w:p>
    <w:p>
      <w:pPr>
        <w:spacing w:line="360" w:lineRule="auto"/>
        <w:jc w:val="center"/>
        <w:outlineLvl w:val="1"/>
        <w:rPr>
          <w:rFonts w:ascii="宋体" w:hAnsi="宋体"/>
          <w:b/>
          <w:bCs/>
          <w:sz w:val="28"/>
        </w:rPr>
      </w:pPr>
      <w:bookmarkStart w:id="79" w:name="_Toc28601"/>
      <w:bookmarkStart w:id="80" w:name="_Toc27205"/>
      <w:r>
        <w:rPr>
          <w:rFonts w:hint="eastAsia" w:ascii="宋体" w:hAnsi="宋体"/>
          <w:b/>
          <w:bCs/>
          <w:sz w:val="28"/>
        </w:rPr>
        <w:t>一、法定代表人资格证明</w:t>
      </w:r>
      <w:bookmarkEnd w:id="76"/>
      <w:bookmarkEnd w:id="77"/>
      <w:bookmarkEnd w:id="78"/>
      <w:bookmarkEnd w:id="79"/>
      <w:bookmarkEnd w:id="80"/>
    </w:p>
    <w:p>
      <w:pPr>
        <w:spacing w:line="360" w:lineRule="auto"/>
        <w:ind w:firstLine="105" w:firstLineChars="50"/>
        <w:rPr>
          <w:rFonts w:ascii="宋体" w:hAnsi="宋体"/>
          <w:sz w:val="21"/>
          <w:szCs w:val="21"/>
        </w:rPr>
      </w:pPr>
    </w:p>
    <w:p>
      <w:pPr>
        <w:spacing w:line="480" w:lineRule="auto"/>
        <w:ind w:firstLine="120" w:firstLineChars="50"/>
        <w:rPr>
          <w:rFonts w:ascii="宋体" w:hAnsi="宋体"/>
          <w:szCs w:val="21"/>
          <w:u w:val="single"/>
        </w:rPr>
      </w:pPr>
      <w:r>
        <w:rPr>
          <w:rFonts w:hint="eastAsia" w:ascii="宋体" w:hAnsi="宋体"/>
          <w:szCs w:val="21"/>
        </w:rPr>
        <w:t>供 应 商：</w:t>
      </w:r>
      <w:r>
        <w:rPr>
          <w:rFonts w:hint="eastAsia" w:ascii="宋体" w:hAnsi="宋体"/>
          <w:szCs w:val="21"/>
          <w:u w:val="single"/>
        </w:rPr>
        <w:t xml:space="preserve">                                             </w:t>
      </w:r>
    </w:p>
    <w:p>
      <w:pPr>
        <w:spacing w:line="480" w:lineRule="auto"/>
        <w:ind w:left="108"/>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spacing w:line="480" w:lineRule="auto"/>
        <w:ind w:left="108"/>
        <w:rPr>
          <w:rFonts w:ascii="宋体" w:hAnsi="宋体"/>
          <w:szCs w:val="21"/>
          <w:u w:val="single"/>
        </w:rPr>
      </w:pPr>
      <w:r>
        <w:rPr>
          <w:rFonts w:hint="eastAsia" w:ascii="宋体" w:hAnsi="宋体"/>
          <w:szCs w:val="21"/>
        </w:rPr>
        <w:t>地    址：</w:t>
      </w:r>
      <w:r>
        <w:rPr>
          <w:rFonts w:hint="eastAsia" w:ascii="宋体" w:hAnsi="宋体"/>
          <w:szCs w:val="21"/>
          <w:u w:val="single"/>
        </w:rPr>
        <w:t xml:space="preserve">                                             </w:t>
      </w:r>
    </w:p>
    <w:p>
      <w:pPr>
        <w:spacing w:line="480" w:lineRule="auto"/>
        <w:ind w:left="108"/>
        <w:rPr>
          <w:rFonts w:ascii="宋体" w:hAnsi="宋体"/>
          <w:szCs w:val="21"/>
          <w:u w:val="single"/>
        </w:rPr>
      </w:pPr>
      <w:r>
        <w:rPr>
          <w:rFonts w:hint="eastAsia" w:ascii="宋体" w:hAnsi="宋体"/>
          <w:szCs w:val="21"/>
        </w:rPr>
        <w:t>经营期限：</w:t>
      </w:r>
      <w:r>
        <w:rPr>
          <w:rFonts w:hint="eastAsia" w:ascii="宋体" w:hAnsi="宋体"/>
          <w:szCs w:val="21"/>
          <w:u w:val="single"/>
        </w:rPr>
        <w:t xml:space="preserve">                                             </w:t>
      </w:r>
    </w:p>
    <w:p>
      <w:pPr>
        <w:spacing w:line="480" w:lineRule="auto"/>
        <w:ind w:left="108"/>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left="108"/>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（供应商）的法定代表人。</w:t>
      </w:r>
    </w:p>
    <w:p>
      <w:pPr>
        <w:spacing w:line="480" w:lineRule="auto"/>
        <w:ind w:left="122" w:leftChars="51" w:firstLine="480" w:firstLineChars="200"/>
        <w:rPr>
          <w:rFonts w:ascii="宋体" w:hAnsi="宋体"/>
          <w:szCs w:val="21"/>
        </w:rPr>
      </w:pPr>
    </w:p>
    <w:p>
      <w:pPr>
        <w:spacing w:line="480" w:lineRule="auto"/>
        <w:ind w:left="122" w:leftChars="51" w:firstLine="480" w:firstLineChars="200"/>
        <w:rPr>
          <w:rFonts w:ascii="宋体" w:hAnsi="宋体"/>
          <w:szCs w:val="21"/>
        </w:rPr>
      </w:pPr>
      <w:r>
        <w:rPr>
          <w:rFonts w:hint="eastAsia" w:ascii="宋体" w:hAnsi="宋体"/>
          <w:szCs w:val="21"/>
        </w:rPr>
        <w:t>特此证明。</w:t>
      </w:r>
    </w:p>
    <w:p>
      <w:pPr>
        <w:spacing w:line="480" w:lineRule="auto"/>
        <w:ind w:left="122" w:leftChars="51" w:firstLine="480" w:firstLineChars="200"/>
        <w:rPr>
          <w:rFonts w:ascii="宋体" w:hAnsi="宋体"/>
          <w:szCs w:val="21"/>
        </w:rPr>
      </w:pPr>
    </w:p>
    <w:p>
      <w:pPr>
        <w:spacing w:line="480" w:lineRule="auto"/>
        <w:ind w:left="122" w:leftChars="51" w:firstLine="480" w:firstLineChars="200"/>
        <w:rPr>
          <w:rFonts w:ascii="宋体" w:hAnsi="宋体"/>
          <w:szCs w:val="21"/>
        </w:rPr>
      </w:pPr>
    </w:p>
    <w:p>
      <w:pPr>
        <w:spacing w:line="480" w:lineRule="auto"/>
        <w:ind w:left="122" w:leftChars="51" w:firstLine="480" w:firstLineChars="200"/>
        <w:rPr>
          <w:rFonts w:ascii="宋体" w:hAnsi="宋体"/>
          <w:szCs w:val="21"/>
        </w:rPr>
      </w:pPr>
    </w:p>
    <w:p>
      <w:pPr>
        <w:spacing w:line="480" w:lineRule="auto"/>
        <w:ind w:left="122" w:leftChars="51"/>
        <w:jc w:val="center"/>
        <w:rPr>
          <w:rFonts w:ascii="宋体" w:hAnsi="宋体"/>
          <w:szCs w:val="21"/>
        </w:rPr>
      </w:pPr>
      <w:r>
        <w:rPr>
          <w:rFonts w:hint="eastAsia" w:ascii="宋体" w:hAnsi="宋体"/>
          <w:szCs w:val="21"/>
        </w:rPr>
        <w:t xml:space="preserve">                供应商：</w:t>
      </w:r>
      <w:r>
        <w:rPr>
          <w:rFonts w:hint="eastAsia" w:ascii="宋体" w:hAnsi="宋体"/>
          <w:szCs w:val="21"/>
          <w:u w:val="single"/>
        </w:rPr>
        <w:t xml:space="preserve">                           （盖章）</w:t>
      </w:r>
    </w:p>
    <w:p>
      <w:pPr>
        <w:spacing w:line="480" w:lineRule="auto"/>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p>
    <w:p>
      <w:pPr>
        <w:spacing w:line="480" w:lineRule="auto"/>
        <w:rPr>
          <w:rFonts w:ascii="宋体" w:hAnsi="宋体"/>
          <w:szCs w:val="21"/>
        </w:rPr>
      </w:pPr>
    </w:p>
    <w:p>
      <w:pPr>
        <w:rPr>
          <w:rFonts w:ascii="宋体" w:hAnsi="宋体"/>
          <w:sz w:val="28"/>
          <w:szCs w:val="22"/>
        </w:rPr>
      </w:pPr>
    </w:p>
    <w:p>
      <w:pPr>
        <w:rPr>
          <w:rFonts w:ascii="宋体" w:hAnsi="宋体"/>
          <w:sz w:val="28"/>
        </w:rPr>
      </w:pPr>
    </w:p>
    <w:p>
      <w:pPr>
        <w:widowControl/>
        <w:jc w:val="left"/>
        <w:rPr>
          <w:rFonts w:ascii="宋体" w:hAnsi="宋体"/>
          <w:b/>
          <w:bCs/>
          <w:sz w:val="28"/>
        </w:rPr>
      </w:pPr>
      <w:r>
        <w:rPr>
          <w:rFonts w:hint="eastAsia" w:ascii="宋体" w:hAnsi="宋体"/>
          <w:b/>
          <w:bCs/>
          <w:sz w:val="28"/>
        </w:rPr>
        <w:br w:type="page"/>
      </w:r>
    </w:p>
    <w:p>
      <w:pPr>
        <w:spacing w:line="360" w:lineRule="auto"/>
        <w:jc w:val="center"/>
        <w:outlineLvl w:val="1"/>
        <w:rPr>
          <w:rFonts w:ascii="宋体" w:hAnsi="宋体"/>
          <w:b/>
          <w:bCs/>
          <w:sz w:val="28"/>
        </w:rPr>
      </w:pPr>
      <w:bookmarkStart w:id="81" w:name="_Toc19480"/>
      <w:bookmarkStart w:id="82" w:name="_Toc1538"/>
      <w:bookmarkStart w:id="83" w:name="_Toc22428"/>
      <w:r>
        <w:rPr>
          <w:rFonts w:hint="eastAsia" w:ascii="宋体" w:hAnsi="宋体"/>
          <w:b/>
          <w:bCs/>
          <w:sz w:val="28"/>
        </w:rPr>
        <w:t>二、法人授权委托书</w:t>
      </w:r>
      <w:bookmarkEnd w:id="81"/>
      <w:bookmarkEnd w:id="82"/>
      <w:bookmarkEnd w:id="83"/>
    </w:p>
    <w:p>
      <w:pPr>
        <w:spacing w:line="360" w:lineRule="auto"/>
        <w:rPr>
          <w:rFonts w:ascii="宋体" w:hAnsi="宋体"/>
          <w:b/>
          <w:bCs/>
          <w:sz w:val="28"/>
        </w:rPr>
      </w:pPr>
    </w:p>
    <w:p>
      <w:pPr>
        <w:spacing w:line="360" w:lineRule="auto"/>
        <w:ind w:left="125" w:leftChars="52" w:firstLine="480" w:firstLineChars="200"/>
        <w:rPr>
          <w:rFonts w:ascii="宋体" w:hAnsi="宋体"/>
          <w:sz w:val="21"/>
          <w:szCs w:val="21"/>
        </w:rPr>
      </w:pPr>
      <w:r>
        <w:rPr>
          <w:rFonts w:hint="eastAsia" w:ascii="宋体" w:hAnsi="宋体"/>
          <w:szCs w:val="21"/>
        </w:rPr>
        <w:t>本授权委托书声明：我（姓名）系（供应商名称）的法定代表人，现代表公司授权委托（被授权人的姓名、职务）为我公司合法代理人，代表本公司参加签署本项目</w:t>
      </w:r>
      <w:r>
        <w:rPr>
          <w:rFonts w:hint="eastAsia" w:ascii="宋体" w:hAnsi="宋体"/>
          <w:szCs w:val="21"/>
          <w:u w:val="single"/>
        </w:rPr>
        <w:t xml:space="preserve">            （项目名称）     （项目编号）</w:t>
      </w:r>
      <w:r>
        <w:rPr>
          <w:rFonts w:hint="eastAsia" w:ascii="宋体" w:hAnsi="宋体"/>
          <w:szCs w:val="21"/>
        </w:rPr>
        <w:t>的竞争性磋商。代理人在本次报价中所签署的一切文件和处理的一切有关事物，我公司均予承认。</w:t>
      </w:r>
    </w:p>
    <w:p>
      <w:pPr>
        <w:spacing w:line="360" w:lineRule="auto"/>
        <w:ind w:left="124" w:leftChars="51" w:hanging="2"/>
        <w:rPr>
          <w:rFonts w:ascii="宋体" w:hAnsi="宋体"/>
          <w:szCs w:val="21"/>
        </w:rPr>
      </w:pPr>
      <w:r>
        <w:rPr>
          <w:rFonts w:hint="eastAsia" w:ascii="宋体" w:hAnsi="宋体"/>
          <w:szCs w:val="21"/>
        </w:rPr>
        <w:t xml:space="preserve">    代理人无转委托权，特此委托。</w:t>
      </w:r>
    </w:p>
    <w:p>
      <w:pPr>
        <w:spacing w:line="360" w:lineRule="auto"/>
        <w:ind w:left="125" w:leftChars="52" w:firstLine="480" w:firstLineChars="200"/>
        <w:rPr>
          <w:rFonts w:ascii="宋体" w:hAnsi="宋体"/>
          <w:szCs w:val="21"/>
        </w:rPr>
      </w:pPr>
      <w:r>
        <w:rPr>
          <w:rFonts w:hint="eastAsia" w:ascii="宋体" w:hAnsi="宋体"/>
          <w:szCs w:val="21"/>
        </w:rPr>
        <w:t>特此声明。</w:t>
      </w:r>
    </w:p>
    <w:p>
      <w:pPr>
        <w:spacing w:line="480" w:lineRule="auto"/>
        <w:ind w:firstLine="600" w:firstLineChars="250"/>
        <w:rPr>
          <w:rFonts w:ascii="宋体" w:hAnsi="宋体"/>
          <w:szCs w:val="21"/>
        </w:rPr>
      </w:pPr>
      <w:r>
        <w:rPr>
          <w:rFonts w:hint="eastAsia" w:ascii="宋体" w:hAnsi="宋体"/>
          <w:szCs w:val="21"/>
        </w:rPr>
        <w:t>被授权人签字：                           法人代表签字：</w:t>
      </w:r>
    </w:p>
    <w:p>
      <w:pPr>
        <w:spacing w:line="480" w:lineRule="auto"/>
        <w:ind w:firstLine="600" w:firstLineChars="250"/>
        <w:rPr>
          <w:rFonts w:ascii="宋体" w:hAnsi="宋体"/>
          <w:szCs w:val="21"/>
        </w:rPr>
      </w:pPr>
      <w:r>
        <w:rPr>
          <w:rFonts w:hint="eastAsia" w:ascii="宋体" w:hAnsi="宋体"/>
          <w:szCs w:val="21"/>
        </w:rPr>
        <w:t>职        务：                           职        务：</w:t>
      </w:r>
    </w:p>
    <w:p>
      <w:pPr>
        <w:spacing w:line="480" w:lineRule="auto"/>
        <w:ind w:firstLine="600" w:firstLineChars="250"/>
        <w:rPr>
          <w:rFonts w:ascii="宋体" w:hAnsi="宋体"/>
          <w:szCs w:val="21"/>
        </w:rPr>
      </w:pPr>
      <w:r>
        <w:rPr>
          <w:rFonts w:hint="eastAsia" w:ascii="宋体" w:hAnsi="宋体"/>
          <w:szCs w:val="21"/>
        </w:rPr>
        <w:t>身  份 证 号：                           身  份 证 号：</w:t>
      </w:r>
    </w:p>
    <w:p>
      <w:pPr>
        <w:spacing w:line="480" w:lineRule="auto"/>
        <w:ind w:firstLine="120" w:firstLineChars="50"/>
        <w:rPr>
          <w:rFonts w:ascii="宋体" w:hAnsi="宋体"/>
          <w:bCs/>
          <w:szCs w:val="21"/>
        </w:rPr>
      </w:pPr>
      <w:r>
        <w:rPr>
          <w:rFonts w:hint="eastAsia" w:ascii="宋体" w:hAnsi="宋体"/>
          <w:szCs w:val="21"/>
        </w:rPr>
        <w:t>附：法定代表人、被授权人身份证复印件。（备注：如使用二代身份证需复印正、</w:t>
      </w:r>
      <w:r>
        <w:rPr>
          <w:rFonts w:hint="eastAsia" w:ascii="宋体" w:hAnsi="宋体"/>
          <w:bCs/>
          <w:szCs w:val="21"/>
        </w:rPr>
        <w:t>反两面）</w:t>
      </w:r>
    </w:p>
    <w:tbl>
      <w:tblPr>
        <w:tblStyle w:val="12"/>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sz w:val="21"/>
                <w:szCs w:val="21"/>
              </w:rPr>
            </w:pPr>
            <w:r>
              <w:rPr>
                <w:rFonts w:hint="eastAsia" w:ascii="宋体" w:hAnsi="宋体"/>
                <w:szCs w:val="21"/>
              </w:rPr>
              <w:t>法定代表人身份证复印件</w:t>
            </w:r>
          </w:p>
          <w:p>
            <w:pPr>
              <w:spacing w:line="360" w:lineRule="auto"/>
              <w:jc w:val="center"/>
              <w:rPr>
                <w:rFonts w:ascii="宋体" w:hAnsi="宋体" w:eastAsiaTheme="minorEastAsia"/>
                <w:sz w:val="21"/>
                <w:szCs w:val="21"/>
              </w:rPr>
            </w:pPr>
          </w:p>
        </w:tc>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sz w:val="21"/>
                <w:szCs w:val="21"/>
              </w:rPr>
            </w:pPr>
            <w:r>
              <w:rPr>
                <w:rFonts w:hint="eastAsia" w:ascii="宋体" w:hAnsi="宋体"/>
                <w:szCs w:val="21"/>
              </w:rPr>
              <w:t>被授权人身份证复印件</w:t>
            </w:r>
          </w:p>
          <w:p>
            <w:pPr>
              <w:spacing w:line="360" w:lineRule="auto"/>
              <w:jc w:val="center"/>
              <w:rPr>
                <w:rFonts w:ascii="宋体" w:hAnsi="宋体"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sz w:val="21"/>
                <w:szCs w:val="21"/>
              </w:rPr>
            </w:pPr>
            <w:r>
              <w:rPr>
                <w:rFonts w:hint="eastAsia" w:ascii="宋体" w:hAnsi="宋体"/>
                <w:szCs w:val="21"/>
              </w:rPr>
              <w:t>法定代表人身份证复印件</w:t>
            </w:r>
          </w:p>
          <w:p>
            <w:pPr>
              <w:spacing w:line="360" w:lineRule="auto"/>
              <w:jc w:val="center"/>
              <w:rPr>
                <w:rFonts w:ascii="宋体" w:hAnsi="宋体" w:eastAsiaTheme="minorEastAsia"/>
                <w:sz w:val="21"/>
                <w:szCs w:val="21"/>
              </w:rPr>
            </w:pPr>
          </w:p>
        </w:tc>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sz w:val="21"/>
                <w:szCs w:val="21"/>
              </w:rPr>
            </w:pPr>
            <w:r>
              <w:rPr>
                <w:rFonts w:hint="eastAsia" w:ascii="宋体" w:hAnsi="宋体"/>
                <w:szCs w:val="21"/>
              </w:rPr>
              <w:t>被授权人身份证复印件</w:t>
            </w:r>
          </w:p>
          <w:p>
            <w:pPr>
              <w:spacing w:line="360" w:lineRule="auto"/>
              <w:jc w:val="center"/>
              <w:rPr>
                <w:rFonts w:ascii="宋体" w:hAnsi="宋体" w:eastAsiaTheme="minorEastAsia"/>
                <w:sz w:val="21"/>
                <w:szCs w:val="21"/>
              </w:rPr>
            </w:pPr>
          </w:p>
        </w:tc>
      </w:tr>
    </w:tbl>
    <w:p>
      <w:pPr>
        <w:spacing w:line="360" w:lineRule="auto"/>
        <w:rPr>
          <w:rFonts w:ascii="宋体" w:hAnsi="宋体" w:eastAsiaTheme="minorEastAsia" w:cstheme="minorBidi"/>
          <w:sz w:val="21"/>
          <w:szCs w:val="21"/>
        </w:rPr>
      </w:pPr>
      <w:r>
        <w:rPr>
          <w:rFonts w:hint="eastAsia" w:ascii="宋体" w:hAnsi="宋体"/>
          <w:szCs w:val="21"/>
        </w:rPr>
        <w:t>（本授权的有效期为磋商之日起90个日历日）</w:t>
      </w:r>
    </w:p>
    <w:p>
      <w:pPr>
        <w:spacing w:line="480" w:lineRule="auto"/>
        <w:ind w:left="122" w:leftChars="51"/>
        <w:jc w:val="left"/>
        <w:rPr>
          <w:rFonts w:ascii="宋体" w:hAnsi="宋体"/>
          <w:szCs w:val="21"/>
        </w:rPr>
      </w:pPr>
      <w:r>
        <w:rPr>
          <w:rFonts w:hint="eastAsia" w:ascii="宋体" w:hAnsi="宋体"/>
          <w:szCs w:val="21"/>
        </w:rPr>
        <w:t>附：劳动合同或社保证明材料</w:t>
      </w:r>
    </w:p>
    <w:p>
      <w:pPr>
        <w:spacing w:line="480" w:lineRule="auto"/>
        <w:ind w:left="122" w:leftChars="51"/>
        <w:jc w:val="center"/>
        <w:rPr>
          <w:rFonts w:ascii="宋体" w:hAnsi="宋体"/>
          <w:sz w:val="21"/>
          <w:szCs w:val="21"/>
        </w:rPr>
      </w:pPr>
      <w:r>
        <w:rPr>
          <w:rFonts w:hint="eastAsia" w:ascii="宋体" w:hAnsi="宋体"/>
          <w:szCs w:val="21"/>
        </w:rPr>
        <w:t>供应商：</w:t>
      </w:r>
      <w:r>
        <w:rPr>
          <w:rFonts w:hint="eastAsia" w:ascii="宋体" w:hAnsi="宋体"/>
          <w:szCs w:val="21"/>
          <w:u w:val="single"/>
        </w:rPr>
        <w:t xml:space="preserve">                         （盖章）</w:t>
      </w:r>
    </w:p>
    <w:p>
      <w:pPr>
        <w:spacing w:line="480" w:lineRule="auto"/>
        <w:rPr>
          <w:rFonts w:ascii="宋体" w:hAnsi="宋体"/>
          <w:szCs w:val="21"/>
        </w:rPr>
      </w:pPr>
      <w:r>
        <w:rPr>
          <w:rFonts w:hint="eastAsia" w:ascii="宋体" w:hAnsi="宋体"/>
          <w:szCs w:val="21"/>
        </w:rPr>
        <w:t xml:space="preserve">                       日  期：  年  月  日</w:t>
      </w:r>
    </w:p>
    <w:p>
      <w:pPr>
        <w:widowControl/>
        <w:jc w:val="left"/>
        <w:rPr>
          <w:rFonts w:ascii="宋体" w:hAnsi="宋体"/>
          <w:b/>
          <w:bCs/>
          <w:sz w:val="28"/>
          <w:szCs w:val="22"/>
        </w:rPr>
      </w:pPr>
    </w:p>
    <w:p>
      <w:pPr>
        <w:spacing w:line="360" w:lineRule="auto"/>
        <w:jc w:val="center"/>
        <w:outlineLvl w:val="1"/>
        <w:rPr>
          <w:rFonts w:ascii="宋体" w:hAnsi="宋体"/>
          <w:b/>
          <w:bCs/>
          <w:sz w:val="28"/>
        </w:rPr>
      </w:pPr>
      <w:bookmarkStart w:id="84" w:name="_Toc18076"/>
      <w:bookmarkStart w:id="85" w:name="_Toc16416"/>
      <w:bookmarkStart w:id="86" w:name="_Toc7217"/>
      <w:r>
        <w:rPr>
          <w:rFonts w:hint="eastAsia" w:ascii="宋体" w:hAnsi="宋体"/>
          <w:b/>
          <w:bCs/>
          <w:sz w:val="28"/>
        </w:rPr>
        <w:t>三、磋商函</w:t>
      </w:r>
      <w:bookmarkEnd w:id="84"/>
      <w:bookmarkEnd w:id="85"/>
      <w:bookmarkEnd w:id="86"/>
    </w:p>
    <w:p>
      <w:pPr>
        <w:spacing w:line="360" w:lineRule="auto"/>
        <w:rPr>
          <w:rFonts w:ascii="宋体" w:hAnsi="宋体"/>
          <w:szCs w:val="21"/>
        </w:rPr>
      </w:pPr>
      <w:r>
        <w:rPr>
          <w:rFonts w:hint="eastAsia" w:ascii="宋体" w:hAnsi="宋体"/>
          <w:szCs w:val="21"/>
        </w:rPr>
        <w:t>（采购人名称） ：</w:t>
      </w:r>
    </w:p>
    <w:p>
      <w:pPr>
        <w:spacing w:line="500" w:lineRule="exact"/>
        <w:ind w:firstLine="480" w:firstLineChars="200"/>
        <w:rPr>
          <w:rFonts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xml:space="preserve">                   （项目名称）（项目编号）</w:t>
      </w:r>
      <w:r>
        <w:rPr>
          <w:rFonts w:hint="eastAsia" w:ascii="宋体" w:hAnsi="宋体"/>
          <w:color w:val="000000"/>
          <w:szCs w:val="21"/>
        </w:rPr>
        <w:t>磋商文件，签字代表</w:t>
      </w:r>
      <w:r>
        <w:rPr>
          <w:rFonts w:hint="eastAsia" w:ascii="宋体" w:hAnsi="宋体"/>
          <w:color w:val="000000"/>
          <w:szCs w:val="21"/>
          <w:u w:val="single"/>
        </w:rPr>
        <w:t xml:space="preserve">              (全名、职务)</w:t>
      </w:r>
      <w:r>
        <w:rPr>
          <w:rFonts w:hint="eastAsia" w:ascii="宋体" w:hAnsi="宋体"/>
          <w:color w:val="000000"/>
          <w:szCs w:val="21"/>
        </w:rPr>
        <w:t>经正式授权并代表</w:t>
      </w:r>
      <w:r>
        <w:rPr>
          <w:rFonts w:hint="eastAsia" w:ascii="宋体" w:hAnsi="宋体"/>
          <w:color w:val="000000"/>
          <w:szCs w:val="21"/>
          <w:u w:val="single"/>
        </w:rPr>
        <w:t xml:space="preserve">                     (供应商名称、地址）</w:t>
      </w:r>
      <w:r>
        <w:rPr>
          <w:rFonts w:hint="eastAsia" w:ascii="宋体" w:hAnsi="宋体"/>
          <w:color w:val="000000"/>
          <w:szCs w:val="21"/>
        </w:rPr>
        <w:t>提交响应文件正本壹份、副本一式叁份。</w:t>
      </w:r>
    </w:p>
    <w:p>
      <w:pPr>
        <w:spacing w:line="500" w:lineRule="exact"/>
        <w:ind w:firstLine="420"/>
        <w:rPr>
          <w:rFonts w:ascii="宋体" w:hAnsi="宋体"/>
          <w:color w:val="000000"/>
          <w:szCs w:val="21"/>
        </w:rPr>
      </w:pPr>
      <w:r>
        <w:rPr>
          <w:rFonts w:hint="eastAsia" w:ascii="宋体" w:hAnsi="宋体"/>
          <w:color w:val="000000"/>
          <w:szCs w:val="21"/>
        </w:rPr>
        <w:t>1. 愿意按照磋商文件中的一切要求，总报价为：</w:t>
      </w:r>
    </w:p>
    <w:p>
      <w:pPr>
        <w:spacing w:line="500" w:lineRule="exact"/>
        <w:ind w:firstLine="840" w:firstLineChars="3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元。</w:t>
      </w:r>
    </w:p>
    <w:p>
      <w:pPr>
        <w:spacing w:line="500" w:lineRule="exact"/>
        <w:ind w:firstLine="420"/>
        <w:rPr>
          <w:rFonts w:ascii="宋体" w:hAnsi="宋体"/>
          <w:color w:val="000000"/>
          <w:szCs w:val="21"/>
        </w:rPr>
      </w:pPr>
      <w:r>
        <w:rPr>
          <w:rFonts w:hint="eastAsia" w:ascii="宋体" w:hAnsi="宋体"/>
          <w:color w:val="000000"/>
          <w:szCs w:val="21"/>
        </w:rPr>
        <w:t>2. 供应商将按磋商文件的规定履行合同责任和义务</w:t>
      </w:r>
      <w:r>
        <w:rPr>
          <w:rFonts w:hint="eastAsia" w:ascii="宋体" w:hAnsi="宋体"/>
          <w:szCs w:val="21"/>
        </w:rPr>
        <w:t>；</w:t>
      </w:r>
    </w:p>
    <w:p>
      <w:pPr>
        <w:spacing w:line="500" w:lineRule="exact"/>
        <w:ind w:firstLine="420"/>
        <w:rPr>
          <w:rFonts w:ascii="宋体" w:hAnsi="宋体"/>
          <w:color w:val="000000"/>
          <w:szCs w:val="21"/>
        </w:rPr>
      </w:pPr>
      <w:r>
        <w:rPr>
          <w:rFonts w:hint="eastAsia" w:ascii="宋体" w:hAnsi="宋体"/>
          <w:color w:val="000000"/>
          <w:szCs w:val="21"/>
        </w:rPr>
        <w:t>3. 供应商已详细审查全部磋商文件，包括修改文件（如有的话）以及全部参考资料和有关附件。我们完全理解并同意放弃对这方面有不明及误解的权利；</w:t>
      </w:r>
    </w:p>
    <w:p>
      <w:pPr>
        <w:spacing w:line="500" w:lineRule="exact"/>
        <w:ind w:firstLine="420"/>
        <w:rPr>
          <w:rFonts w:ascii="宋体" w:hAnsi="宋体"/>
          <w:color w:val="000000"/>
          <w:szCs w:val="21"/>
        </w:rPr>
      </w:pPr>
      <w:r>
        <w:rPr>
          <w:rFonts w:hint="eastAsia" w:ascii="宋体" w:hAnsi="宋体"/>
          <w:color w:val="000000"/>
          <w:szCs w:val="21"/>
        </w:rPr>
        <w:t>4. 其响应文件自磋商之日起有效期为</w:t>
      </w:r>
      <w:r>
        <w:rPr>
          <w:rFonts w:hint="eastAsia" w:ascii="宋体" w:hAnsi="宋体"/>
          <w:color w:val="000000"/>
          <w:szCs w:val="21"/>
          <w:u w:val="single"/>
        </w:rPr>
        <w:t xml:space="preserve">     </w:t>
      </w:r>
      <w:r>
        <w:rPr>
          <w:rFonts w:hint="eastAsia" w:ascii="宋体" w:hAnsi="宋体"/>
          <w:color w:val="000000"/>
          <w:szCs w:val="21"/>
        </w:rPr>
        <w:t>个日历日；</w:t>
      </w:r>
    </w:p>
    <w:p>
      <w:pPr>
        <w:spacing w:line="500" w:lineRule="exact"/>
        <w:ind w:firstLine="420"/>
        <w:rPr>
          <w:rFonts w:ascii="宋体" w:hAnsi="宋体"/>
          <w:color w:val="000000"/>
          <w:szCs w:val="21"/>
        </w:rPr>
      </w:pPr>
      <w:r>
        <w:rPr>
          <w:rFonts w:hint="eastAsia" w:ascii="宋体" w:hAnsi="宋体"/>
          <w:color w:val="000000"/>
          <w:szCs w:val="21"/>
        </w:rPr>
        <w:t>5. 供应商同意提供按照贵方可能要求的与其磋商有关的一切数据或资料，完全理解贵方不一定要接受最低价的报价或收到的任何其他报价。</w:t>
      </w:r>
    </w:p>
    <w:p>
      <w:pPr>
        <w:spacing w:line="500" w:lineRule="exact"/>
        <w:ind w:firstLine="420"/>
        <w:rPr>
          <w:rFonts w:ascii="宋体" w:hAnsi="宋体"/>
          <w:color w:val="000000"/>
          <w:szCs w:val="21"/>
        </w:rPr>
      </w:pPr>
      <w:r>
        <w:rPr>
          <w:rFonts w:hint="eastAsia" w:ascii="宋体" w:hAnsi="宋体"/>
          <w:color w:val="000000"/>
          <w:szCs w:val="21"/>
        </w:rPr>
        <w:t>6. 与本项目有关的一切正式往来通讯请寄：</w:t>
      </w:r>
    </w:p>
    <w:p>
      <w:pPr>
        <w:spacing w:line="560" w:lineRule="exact"/>
        <w:rPr>
          <w:rFonts w:ascii="宋体" w:hAnsi="宋体"/>
          <w:color w:val="000000"/>
          <w:szCs w:val="21"/>
        </w:rPr>
      </w:pPr>
      <w:r>
        <w:rPr>
          <w:rFonts w:hint="eastAsia" w:ascii="宋体" w:hAnsi="宋体"/>
          <w:color w:val="000000"/>
          <w:szCs w:val="21"/>
        </w:rPr>
        <w:tab/>
      </w: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560" w:lineRule="exact"/>
        <w:rPr>
          <w:rFonts w:ascii="宋体" w:hAnsi="宋体"/>
          <w:color w:val="000000"/>
          <w:szCs w:val="21"/>
        </w:rPr>
      </w:pPr>
      <w:r>
        <w:rPr>
          <w:rFonts w:hint="eastAsia" w:ascii="宋体" w:hAnsi="宋体"/>
          <w:color w:val="000000"/>
          <w:szCs w:val="21"/>
        </w:rPr>
        <w:tab/>
      </w: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p>
    <w:p>
      <w:pPr>
        <w:spacing w:line="560" w:lineRule="exact"/>
        <w:ind w:firstLine="420"/>
        <w:rPr>
          <w:rFonts w:ascii="宋体" w:hAnsi="宋体"/>
          <w:color w:val="000000"/>
          <w:szCs w:val="21"/>
          <w:u w:val="single"/>
        </w:rPr>
      </w:pPr>
      <w:r>
        <w:rPr>
          <w:rFonts w:hint="eastAsia" w:ascii="宋体" w:hAnsi="宋体"/>
          <w:color w:val="000000"/>
          <w:szCs w:val="21"/>
        </w:rPr>
        <w:t>供应商代表姓名、职务（印刷体）：</w:t>
      </w:r>
      <w:r>
        <w:rPr>
          <w:rFonts w:hint="eastAsia" w:ascii="宋体" w:hAnsi="宋体"/>
          <w:color w:val="000000"/>
          <w:szCs w:val="21"/>
          <w:u w:val="single"/>
        </w:rPr>
        <w:t xml:space="preserve">         </w:t>
      </w:r>
    </w:p>
    <w:p>
      <w:pPr>
        <w:spacing w:line="560" w:lineRule="exact"/>
        <w:rPr>
          <w:rFonts w:ascii="宋体" w:hAnsi="宋体"/>
          <w:color w:val="000000"/>
          <w:szCs w:val="21"/>
        </w:rPr>
      </w:pPr>
      <w:r>
        <w:rPr>
          <w:rFonts w:hint="eastAsia" w:ascii="宋体" w:hAnsi="宋体"/>
          <w:color w:val="000000"/>
          <w:szCs w:val="21"/>
        </w:rPr>
        <w:tab/>
      </w:r>
      <w:r>
        <w:rPr>
          <w:rFonts w:hint="eastAsia" w:ascii="宋体" w:hAnsi="宋体"/>
          <w:color w:val="000000"/>
          <w:szCs w:val="21"/>
        </w:rPr>
        <w:t>供应商名称：</w:t>
      </w:r>
      <w:r>
        <w:rPr>
          <w:rFonts w:hint="eastAsia" w:ascii="宋体" w:hAnsi="宋体"/>
          <w:color w:val="000000"/>
          <w:szCs w:val="21"/>
          <w:u w:val="single"/>
        </w:rPr>
        <w:t xml:space="preserve">                                     （公章） </w:t>
      </w:r>
    </w:p>
    <w:p>
      <w:pPr>
        <w:spacing w:line="560" w:lineRule="exact"/>
        <w:rPr>
          <w:rFonts w:ascii="宋体" w:hAnsi="宋体"/>
          <w:color w:val="000000"/>
          <w:szCs w:val="21"/>
        </w:rPr>
      </w:pPr>
      <w:r>
        <w:rPr>
          <w:rFonts w:hint="eastAsia" w:ascii="宋体" w:hAnsi="宋体"/>
          <w:color w:val="000000"/>
          <w:szCs w:val="21"/>
        </w:rPr>
        <w:tab/>
      </w:r>
      <w:r>
        <w:rPr>
          <w:rFonts w:hint="eastAsia" w:ascii="宋体" w:hAnsi="宋体" w:cs="仿宋_GB2312"/>
          <w:szCs w:val="21"/>
        </w:rPr>
        <w:t>法定代表人或被授权代表签字/或盖章</w:t>
      </w:r>
      <w:r>
        <w:rPr>
          <w:rFonts w:hint="eastAsia" w:ascii="宋体" w:hAnsi="宋体"/>
          <w:color w:val="000000"/>
          <w:szCs w:val="21"/>
        </w:rPr>
        <w:t>：</w:t>
      </w:r>
      <w:r>
        <w:rPr>
          <w:rFonts w:hint="eastAsia" w:ascii="宋体" w:hAnsi="宋体"/>
          <w:szCs w:val="21"/>
          <w:u w:val="single"/>
        </w:rPr>
        <w:t>（签字或盖章）</w:t>
      </w:r>
    </w:p>
    <w:p>
      <w:pPr>
        <w:spacing w:line="560" w:lineRule="exact"/>
        <w:ind w:firstLine="480" w:firstLineChars="200"/>
        <w:rPr>
          <w:rFonts w:ascii="宋体" w:hAnsi="宋体"/>
          <w:color w:val="000000"/>
          <w:szCs w:val="21"/>
        </w:rPr>
      </w:pPr>
      <w:r>
        <w:rPr>
          <w:rFonts w:hint="eastAsia" w:ascii="宋体" w:hAnsi="宋体"/>
          <w:color w:val="000000"/>
          <w:szCs w:val="21"/>
        </w:rPr>
        <w:t>日     期：   年   月   日</w:t>
      </w:r>
      <w:bookmarkStart w:id="87" w:name="_Hlt491573407"/>
      <w:bookmarkEnd w:id="87"/>
    </w:p>
    <w:p>
      <w:pPr>
        <w:rPr>
          <w:rFonts w:ascii="宋体" w:hAnsi="宋体"/>
          <w:szCs w:val="22"/>
        </w:rPr>
      </w:pPr>
    </w:p>
    <w:p>
      <w:pPr>
        <w:rPr>
          <w:rFonts w:ascii="宋体" w:hAnsi="宋体"/>
        </w:rPr>
      </w:pPr>
    </w:p>
    <w:p>
      <w:pPr>
        <w:spacing w:line="360" w:lineRule="auto"/>
        <w:jc w:val="center"/>
        <w:outlineLvl w:val="1"/>
        <w:rPr>
          <w:rFonts w:ascii="宋体" w:hAnsi="宋体"/>
          <w:b/>
          <w:bCs/>
          <w:sz w:val="28"/>
        </w:rPr>
      </w:pPr>
      <w:bookmarkStart w:id="88" w:name="_Toc3275"/>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hint="eastAsia" w:ascii="宋体" w:hAnsi="宋体"/>
          <w:b/>
          <w:bCs/>
          <w:sz w:val="28"/>
        </w:rPr>
      </w:pPr>
      <w:bookmarkStart w:id="89" w:name="_Toc28424"/>
      <w:bookmarkStart w:id="90" w:name="_Toc8872"/>
    </w:p>
    <w:p>
      <w:pPr>
        <w:spacing w:line="360" w:lineRule="auto"/>
        <w:jc w:val="center"/>
        <w:outlineLvl w:val="1"/>
        <w:rPr>
          <w:rFonts w:ascii="宋体" w:hAnsi="宋体"/>
          <w:b/>
          <w:bCs/>
          <w:sz w:val="28"/>
        </w:rPr>
      </w:pPr>
      <w:r>
        <w:rPr>
          <w:rFonts w:hint="eastAsia" w:ascii="宋体" w:hAnsi="宋体"/>
          <w:b/>
          <w:bCs/>
          <w:sz w:val="28"/>
        </w:rPr>
        <w:t>四、磋商一览表</w:t>
      </w:r>
      <w:bookmarkEnd w:id="88"/>
      <w:bookmarkEnd w:id="89"/>
      <w:bookmarkEnd w:id="90"/>
    </w:p>
    <w:p>
      <w:pPr>
        <w:ind w:firstLine="3345" w:firstLineChars="1190"/>
        <w:rPr>
          <w:rFonts w:ascii="宋体" w:hAnsi="宋体"/>
          <w:b/>
          <w:sz w:val="28"/>
          <w:szCs w:val="28"/>
        </w:rPr>
      </w:pPr>
    </w:p>
    <w:tbl>
      <w:tblPr>
        <w:tblStyle w:val="12"/>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r>
              <w:rPr>
                <w:rFonts w:hint="eastAsia" w:ascii="宋体" w:hAnsi="宋体"/>
                <w:szCs w:val="21"/>
              </w:rPr>
              <w:t>项目编号</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r>
              <w:rPr>
                <w:rFonts w:hint="eastAsia" w:ascii="宋体" w:hAnsi="宋体"/>
                <w:szCs w:val="21"/>
              </w:rPr>
              <w:t>项目名称</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r>
              <w:rPr>
                <w:rFonts w:hint="eastAsia" w:ascii="宋体" w:hAnsi="宋体"/>
                <w:szCs w:val="21"/>
              </w:rPr>
              <w:t>总报价</w:t>
            </w:r>
          </w:p>
          <w:p>
            <w:pPr>
              <w:jc w:val="center"/>
              <w:rPr>
                <w:rFonts w:ascii="宋体" w:hAnsi="宋体" w:eastAsiaTheme="minorEastAsia"/>
                <w:sz w:val="21"/>
                <w:szCs w:val="21"/>
              </w:rPr>
            </w:pPr>
            <w:r>
              <w:rPr>
                <w:rFonts w:hint="eastAsia" w:ascii="宋体" w:hAnsi="宋体"/>
                <w:szCs w:val="21"/>
              </w:rPr>
              <w:t>（人民币）</w:t>
            </w:r>
          </w:p>
        </w:tc>
        <w:tc>
          <w:tcPr>
            <w:tcW w:w="6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000000"/>
                <w:sz w:val="21"/>
                <w:szCs w:val="21"/>
              </w:rPr>
            </w:pPr>
            <w:r>
              <w:rPr>
                <w:rFonts w:hint="eastAsia" w:ascii="宋体" w:hAnsi="宋体"/>
                <w:color w:val="000000"/>
                <w:szCs w:val="21"/>
              </w:rPr>
              <w:t>小写金额：</w:t>
            </w:r>
            <w:r>
              <w:rPr>
                <w:rFonts w:hint="eastAsia" w:ascii="宋体" w:hAnsi="宋体"/>
                <w:color w:val="000000"/>
                <w:szCs w:val="21"/>
                <w:u w:val="single"/>
              </w:rPr>
              <w:t xml:space="preserve">    </w:t>
            </w:r>
            <w:r>
              <w:rPr>
                <w:rFonts w:hint="eastAsia" w:ascii="宋体" w:hAnsi="宋体"/>
                <w:color w:val="000000"/>
                <w:szCs w:val="21"/>
              </w:rPr>
              <w:t>元。</w:t>
            </w:r>
          </w:p>
          <w:p>
            <w:pPr>
              <w:spacing w:line="360" w:lineRule="auto"/>
              <w:jc w:val="center"/>
              <w:rPr>
                <w:rFonts w:ascii="宋体" w:hAnsi="宋体" w:eastAsiaTheme="minorEastAsia"/>
                <w:color w:val="000000"/>
                <w:sz w:val="21"/>
                <w:szCs w:val="21"/>
              </w:rPr>
            </w:pPr>
            <w:r>
              <w:rPr>
                <w:rFonts w:hint="eastAsia" w:ascii="宋体" w:hAnsi="宋体"/>
                <w:color w:val="000000"/>
                <w:szCs w:val="21"/>
              </w:rPr>
              <w:t>大写金额：</w:t>
            </w:r>
            <w:r>
              <w:rPr>
                <w:rFonts w:hint="eastAsia" w:ascii="宋体" w:hAnsi="宋体"/>
                <w:color w:val="000000"/>
                <w:szCs w:val="21"/>
                <w:u w:val="single"/>
              </w:rPr>
              <w:t xml:space="preserve">    </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r>
              <w:rPr>
                <w:rFonts w:hint="eastAsia" w:ascii="宋体" w:hAnsi="宋体"/>
                <w:szCs w:val="21"/>
              </w:rPr>
              <w:t>交货期</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highlight w:val="yellow"/>
              </w:rPr>
            </w:pPr>
            <w:r>
              <w:rPr>
                <w:rFonts w:hint="eastAsia" w:ascii="宋体" w:hAnsi="宋体"/>
                <w:szCs w:val="21"/>
              </w:rPr>
              <w:t>质量标准</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质保期</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74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heme="minorEastAsia"/>
                <w:sz w:val="21"/>
                <w:szCs w:val="21"/>
                <w:highlight w:val="yellow"/>
              </w:rPr>
            </w:pPr>
            <w:r>
              <w:rPr>
                <w:rFonts w:hint="eastAsia" w:ascii="宋体" w:hAnsi="宋体"/>
              </w:rPr>
              <w:t>备注：表内报价内容以元为单位，保留小数点后两位。</w:t>
            </w:r>
          </w:p>
        </w:tc>
      </w:tr>
    </w:tbl>
    <w:p>
      <w:pPr>
        <w:spacing w:line="460" w:lineRule="exact"/>
        <w:ind w:left="480" w:hanging="480" w:hangingChars="200"/>
        <w:rPr>
          <w:rFonts w:ascii="宋体" w:hAnsi="宋体" w:eastAsiaTheme="minorEastAsia" w:cstheme="minorBidi"/>
          <w:sz w:val="21"/>
          <w:szCs w:val="21"/>
        </w:rPr>
      </w:pPr>
      <w:r>
        <w:rPr>
          <w:rFonts w:hint="eastAsia" w:ascii="宋体" w:hAnsi="宋体"/>
          <w:szCs w:val="21"/>
        </w:rPr>
        <w:t>注：本表应按“供应商须知”的规定密封单独提交。若有折扣声明，请与本表一并装订和密封。</w:t>
      </w:r>
    </w:p>
    <w:p>
      <w:pPr>
        <w:rPr>
          <w:rFonts w:ascii="宋体" w:hAnsi="宋体"/>
          <w:szCs w:val="21"/>
        </w:rPr>
      </w:pPr>
    </w:p>
    <w:p>
      <w:pPr>
        <w:spacing w:line="360" w:lineRule="exact"/>
        <w:rPr>
          <w:rFonts w:ascii="宋体" w:hAnsi="宋体"/>
          <w:szCs w:val="21"/>
        </w:rPr>
      </w:pPr>
    </w:p>
    <w:p>
      <w:pPr>
        <w:spacing w:line="360" w:lineRule="exact"/>
        <w:rPr>
          <w:rFonts w:ascii="宋体" w:hAnsi="宋体"/>
          <w:szCs w:val="22"/>
        </w:rPr>
      </w:pPr>
    </w:p>
    <w:p>
      <w:pPr>
        <w:snapToGrid w:val="0"/>
        <w:spacing w:beforeLines="150" w:line="480" w:lineRule="auto"/>
        <w:ind w:firstLine="480" w:firstLineChars="200"/>
        <w:rPr>
          <w:rFonts w:ascii="宋体" w:hAnsi="宋体"/>
          <w:sz w:val="21"/>
          <w:szCs w:val="21"/>
        </w:rPr>
      </w:pPr>
      <w:r>
        <w:rPr>
          <w:rFonts w:hint="eastAsia" w:ascii="宋体" w:hAnsi="宋体"/>
          <w:color w:val="000000"/>
          <w:szCs w:val="21"/>
        </w:rPr>
        <w:t>供应商名称</w:t>
      </w:r>
      <w:r>
        <w:rPr>
          <w:rFonts w:hint="eastAsia" w:ascii="宋体" w:hAnsi="宋体"/>
          <w:szCs w:val="21"/>
        </w:rPr>
        <w:t>：</w:t>
      </w:r>
      <w:r>
        <w:rPr>
          <w:rFonts w:hint="eastAsia" w:ascii="宋体" w:hAnsi="宋体"/>
          <w:szCs w:val="21"/>
          <w:u w:val="single"/>
        </w:rPr>
        <w:t xml:space="preserve">                                      （盖章）</w:t>
      </w:r>
    </w:p>
    <w:p>
      <w:pPr>
        <w:rPr>
          <w:rFonts w:ascii="宋体" w:hAnsi="宋体"/>
          <w:szCs w:val="21"/>
        </w:rPr>
      </w:pPr>
    </w:p>
    <w:p>
      <w:pPr>
        <w:ind w:firstLine="480" w:firstLineChars="200"/>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（签字或盖章）</w:t>
      </w:r>
    </w:p>
    <w:p>
      <w:pPr>
        <w:rPr>
          <w:rFonts w:ascii="宋体" w:hAnsi="宋体"/>
          <w:szCs w:val="21"/>
          <w:u w:val="single"/>
        </w:rPr>
      </w:pPr>
    </w:p>
    <w:p>
      <w:pPr>
        <w:spacing w:line="460" w:lineRule="exact"/>
        <w:ind w:firstLine="480" w:firstLineChars="200"/>
        <w:rPr>
          <w:rFonts w:ascii="宋体" w:hAnsi="宋体"/>
          <w:color w:val="000000"/>
          <w:szCs w:val="21"/>
        </w:rPr>
      </w:pPr>
      <w:r>
        <w:rPr>
          <w:rFonts w:hint="eastAsia" w:ascii="宋体" w:hAnsi="宋体"/>
          <w:color w:val="000000"/>
          <w:szCs w:val="21"/>
        </w:rPr>
        <w:t>日       期：  年  月  日</w:t>
      </w:r>
    </w:p>
    <w:p>
      <w:pPr>
        <w:rPr>
          <w:rFonts w:ascii="宋体" w:hAnsi="宋体"/>
          <w:szCs w:val="21"/>
        </w:rPr>
      </w:pPr>
    </w:p>
    <w:p>
      <w:pPr>
        <w:pageBreakBefore/>
        <w:spacing w:line="360" w:lineRule="auto"/>
        <w:jc w:val="center"/>
        <w:outlineLvl w:val="1"/>
        <w:rPr>
          <w:rFonts w:ascii="宋体" w:hAnsi="宋体"/>
          <w:b/>
          <w:bCs/>
          <w:sz w:val="28"/>
        </w:rPr>
      </w:pPr>
      <w:bookmarkStart w:id="91" w:name="_Toc12268"/>
      <w:bookmarkStart w:id="92" w:name="_Toc311415658"/>
      <w:bookmarkStart w:id="93" w:name="_Toc312789404"/>
      <w:bookmarkStart w:id="94" w:name="_Toc347478747"/>
      <w:bookmarkStart w:id="95" w:name="_Toc283240497"/>
      <w:bookmarkStart w:id="96" w:name="_Toc334522292"/>
      <w:bookmarkStart w:id="97" w:name="_Toc356814675"/>
      <w:bookmarkStart w:id="98" w:name="_Toc1548"/>
      <w:bookmarkStart w:id="99" w:name="_Toc19883"/>
      <w:bookmarkStart w:id="100" w:name="_Toc30670"/>
      <w:r>
        <w:rPr>
          <w:rFonts w:hint="eastAsia" w:ascii="宋体" w:hAnsi="宋体"/>
          <w:b/>
          <w:bCs/>
          <w:sz w:val="28"/>
        </w:rPr>
        <w:t>五、</w:t>
      </w:r>
      <w:bookmarkEnd w:id="91"/>
      <w:bookmarkEnd w:id="92"/>
      <w:bookmarkEnd w:id="93"/>
      <w:bookmarkEnd w:id="94"/>
      <w:bookmarkEnd w:id="95"/>
      <w:bookmarkEnd w:id="96"/>
      <w:bookmarkEnd w:id="97"/>
      <w:bookmarkStart w:id="101" w:name="_Toc356927980"/>
      <w:r>
        <w:rPr>
          <w:rFonts w:hint="eastAsia" w:ascii="宋体" w:hAnsi="宋体"/>
          <w:b/>
          <w:bCs/>
          <w:sz w:val="28"/>
        </w:rPr>
        <w:t>供应商资质证明文件</w:t>
      </w:r>
      <w:bookmarkEnd w:id="98"/>
      <w:bookmarkEnd w:id="99"/>
      <w:bookmarkEnd w:id="100"/>
    </w:p>
    <w:bookmarkEnd w:id="101"/>
    <w:p>
      <w:pPr>
        <w:topLinePunct/>
        <w:spacing w:line="560" w:lineRule="exact"/>
        <w:rPr>
          <w:rFonts w:ascii="宋体" w:hAnsi="宋体"/>
          <w:b/>
        </w:rPr>
      </w:pPr>
      <w:r>
        <w:rPr>
          <w:rFonts w:hint="eastAsia" w:ascii="宋体" w:hAnsi="宋体"/>
          <w:b/>
        </w:rPr>
        <w:t>以下相关资料需提供加盖公章的复印件：</w:t>
      </w:r>
    </w:p>
    <w:p>
      <w:pPr>
        <w:spacing w:line="560" w:lineRule="exact"/>
        <w:ind w:firstLine="480" w:firstLineChars="200"/>
        <w:rPr>
          <w:color w:val="000000"/>
        </w:rPr>
      </w:pPr>
      <w:r>
        <w:rPr>
          <w:rFonts w:hint="eastAsia"/>
          <w:color w:val="000000"/>
        </w:rPr>
        <w:t>1、符合《中华人民共和国政府采购法》第二十二条（本条需提供原件有：2017年财务审计报告或近三个月银行资信证明、社会保障资金证明材料及近三个月完税证明材料）；</w:t>
      </w:r>
    </w:p>
    <w:p>
      <w:pPr>
        <w:spacing w:line="560" w:lineRule="exact"/>
        <w:ind w:firstLine="480" w:firstLineChars="200"/>
        <w:rPr>
          <w:color w:val="000000"/>
        </w:rPr>
      </w:pPr>
      <w:r>
        <w:rPr>
          <w:rFonts w:hint="eastAsia"/>
          <w:color w:val="000000"/>
        </w:rPr>
        <w:t>2、合法注册的法人应提供营业执照（或事业法人证）、组织机构代码证、税务登记证（提供年检证明文件）或统一社会信用代码的营业执照（提供2017年或2018年企业信息公示年度报告）或其他组织应提供合法证明文件或自然人提供身份证件；</w:t>
      </w:r>
    </w:p>
    <w:p>
      <w:pPr>
        <w:spacing w:line="560" w:lineRule="exact"/>
        <w:ind w:firstLine="480" w:firstLineChars="200"/>
        <w:rPr>
          <w:color w:val="000000"/>
          <w:szCs w:val="22"/>
        </w:rPr>
      </w:pPr>
      <w:r>
        <w:rPr>
          <w:rFonts w:hint="eastAsia"/>
          <w:color w:val="000000"/>
          <w:szCs w:val="22"/>
        </w:rPr>
        <w:t>3、提供采购代理机构出具的投标保证金收据或担保机构出具的保函；</w:t>
      </w:r>
    </w:p>
    <w:p>
      <w:pPr>
        <w:spacing w:line="560" w:lineRule="exact"/>
        <w:ind w:firstLine="480" w:firstLineChars="200"/>
        <w:rPr>
          <w:color w:val="000000"/>
          <w:szCs w:val="22"/>
        </w:rPr>
      </w:pPr>
      <w:r>
        <w:rPr>
          <w:rFonts w:hint="eastAsia"/>
          <w:color w:val="000000"/>
          <w:szCs w:val="22"/>
        </w:rPr>
        <w:t>4、供应商为生产厂家的须提供医疗器械生产许可证和所投产品的医疗器械产品注册证；供应商为代理经销商的须提供医疗器械经营许可证和所投产品的医疗器械产品注册证（换证期间须提供相关管理机构的证明文件）；若为进口产品需提供“进”字号注册证及产品授权书。</w:t>
      </w:r>
    </w:p>
    <w:p>
      <w:pPr>
        <w:spacing w:line="560" w:lineRule="exact"/>
        <w:ind w:firstLine="480" w:firstLineChars="200"/>
        <w:rPr>
          <w:rFonts w:ascii="宋体" w:hAnsi="宋体" w:cs="宋体"/>
          <w:szCs w:val="24"/>
        </w:rPr>
      </w:pPr>
      <w:r>
        <w:rPr>
          <w:rFonts w:hint="eastAsia"/>
          <w:color w:val="000000"/>
        </w:rPr>
        <w:t>5、供应商不得为“中华人民共和国最高人民法院”网站（www.court.gov.cn）被列入失信被执行人名单的供应商，“信用中国”网站（www.creditchina.gov.cn）中被列入重大税收违法案件当事人名单的供应商，中国政府采购网（www.ccgp.gov.cn）政府采购严重违法失信行为记录名单中被财政部门禁止参加政府采购活动的供应商（提供以上查询结果网页截图），并提供参加政府采购活动前3年内在经营活动中没有重大违法记录的书面声明。</w:t>
      </w:r>
    </w:p>
    <w:p>
      <w:pPr>
        <w:spacing w:line="360" w:lineRule="auto"/>
        <w:jc w:val="center"/>
        <w:outlineLvl w:val="1"/>
        <w:rPr>
          <w:rFonts w:ascii="宋体" w:hAnsi="宋体"/>
          <w:b/>
          <w:bCs/>
          <w:sz w:val="28"/>
        </w:rPr>
      </w:pPr>
      <w:bookmarkStart w:id="102" w:name="_Toc4163"/>
    </w:p>
    <w:p>
      <w:pPr>
        <w:spacing w:line="500" w:lineRule="exact"/>
        <w:ind w:firstLine="480" w:firstLineChars="200"/>
        <w:rPr>
          <w:rFonts w:ascii="宋体" w:hAnsi="宋体"/>
        </w:rPr>
      </w:pPr>
      <w:r>
        <w:rPr>
          <w:rFonts w:hint="eastAsia" w:ascii="宋体" w:hAnsi="宋体"/>
        </w:rPr>
        <w:t>注：包括但不限于以上内容，供应商根据本项目实际情况编写，格式自拟。</w:t>
      </w: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bookmarkStart w:id="103" w:name="_Toc20272"/>
      <w:bookmarkStart w:id="104" w:name="_Toc18331"/>
      <w:r>
        <w:rPr>
          <w:rFonts w:ascii="宋体" w:hAnsi="宋体"/>
          <w:b/>
          <w:bCs/>
          <w:sz w:val="28"/>
        </w:rPr>
        <w:br w:type="textWrapping"/>
      </w:r>
      <w:r>
        <w:rPr>
          <w:rFonts w:hint="eastAsia" w:ascii="宋体" w:hAnsi="宋体"/>
          <w:b/>
          <w:bCs/>
          <w:sz w:val="28"/>
        </w:rPr>
        <w:t>六、磋商响应方案说明书</w:t>
      </w:r>
      <w:bookmarkEnd w:id="103"/>
      <w:bookmarkEnd w:id="104"/>
    </w:p>
    <w:p>
      <w:pPr>
        <w:spacing w:line="500" w:lineRule="exact"/>
        <w:ind w:firstLine="480" w:firstLineChars="200"/>
        <w:rPr>
          <w:rFonts w:ascii="宋体" w:hAnsi="宋体"/>
        </w:rPr>
      </w:pPr>
      <w:r>
        <w:rPr>
          <w:rFonts w:hint="eastAsia" w:ascii="宋体" w:hAnsi="宋体"/>
        </w:rPr>
        <w:t>一、磋商供应商企业简介。</w:t>
      </w:r>
    </w:p>
    <w:p>
      <w:pPr>
        <w:spacing w:line="500" w:lineRule="exact"/>
        <w:ind w:firstLine="480" w:firstLineChars="200"/>
        <w:rPr>
          <w:rFonts w:ascii="宋体" w:hAnsi="宋体"/>
        </w:rPr>
      </w:pPr>
      <w:r>
        <w:rPr>
          <w:rFonts w:hint="eastAsia" w:ascii="宋体" w:hAnsi="宋体"/>
        </w:rPr>
        <w:t>二、技术及商务响应说明（对技术要求及付款条件等内容响应说明）。</w:t>
      </w:r>
    </w:p>
    <w:p>
      <w:pPr>
        <w:spacing w:line="500" w:lineRule="exact"/>
        <w:ind w:firstLine="480" w:firstLineChars="200"/>
        <w:rPr>
          <w:rFonts w:ascii="宋体" w:hAnsi="宋体"/>
        </w:rPr>
      </w:pPr>
      <w:r>
        <w:rPr>
          <w:rFonts w:hint="eastAsia" w:ascii="宋体" w:hAnsi="宋体"/>
        </w:rPr>
        <w:t>三、磋商响应方案：</w:t>
      </w:r>
    </w:p>
    <w:p>
      <w:pPr>
        <w:spacing w:line="500" w:lineRule="exact"/>
        <w:ind w:firstLine="480" w:firstLineChars="200"/>
        <w:rPr>
          <w:rFonts w:ascii="宋体" w:hAnsi="宋体"/>
        </w:rPr>
      </w:pPr>
      <w:r>
        <w:rPr>
          <w:rFonts w:hint="eastAsia" w:ascii="宋体" w:hAnsi="宋体"/>
        </w:rPr>
        <w:t>（1）技术及服务方案</w:t>
      </w:r>
    </w:p>
    <w:p>
      <w:pPr>
        <w:spacing w:line="500" w:lineRule="exact"/>
        <w:ind w:firstLine="480" w:firstLineChars="200"/>
        <w:rPr>
          <w:rFonts w:ascii="宋体" w:hAnsi="宋体"/>
        </w:rPr>
      </w:pPr>
      <w:r>
        <w:rPr>
          <w:rFonts w:hint="eastAsia" w:ascii="宋体" w:hAnsi="宋体"/>
        </w:rPr>
        <w:t>（2）业绩（</w:t>
      </w:r>
      <w:r>
        <w:rPr>
          <w:rFonts w:hint="eastAsia" w:ascii="宋体" w:hAnsi="宋体" w:cs="宋体"/>
          <w:szCs w:val="24"/>
        </w:rPr>
        <w:t>2016年1月至今同类成功案例</w:t>
      </w:r>
      <w:r>
        <w:rPr>
          <w:rFonts w:hint="eastAsia" w:ascii="宋体" w:hAnsi="宋体"/>
        </w:rPr>
        <w:t>）</w:t>
      </w:r>
    </w:p>
    <w:p>
      <w:pPr>
        <w:spacing w:line="500" w:lineRule="exact"/>
        <w:ind w:firstLine="480" w:firstLineChars="200"/>
        <w:rPr>
          <w:rFonts w:ascii="宋体" w:hAnsi="宋体"/>
        </w:rPr>
      </w:pPr>
      <w:r>
        <w:rPr>
          <w:rFonts w:hint="eastAsia" w:ascii="宋体" w:hAnsi="宋体"/>
        </w:rPr>
        <w:t>（3）服务承诺</w:t>
      </w:r>
    </w:p>
    <w:p>
      <w:pPr>
        <w:spacing w:line="500" w:lineRule="exact"/>
        <w:ind w:firstLine="480" w:firstLineChars="200"/>
        <w:rPr>
          <w:rFonts w:ascii="宋体" w:hAnsi="宋体"/>
        </w:rPr>
      </w:pPr>
      <w:r>
        <w:rPr>
          <w:rFonts w:hint="eastAsia" w:ascii="宋体" w:hAnsi="宋体"/>
        </w:rPr>
        <w:t>（4）供应商认为还需提供的其他资料</w:t>
      </w:r>
    </w:p>
    <w:p>
      <w:pPr>
        <w:spacing w:line="500" w:lineRule="exact"/>
        <w:ind w:firstLine="480" w:firstLineChars="200"/>
        <w:rPr>
          <w:rFonts w:ascii="宋体" w:hAnsi="宋体"/>
        </w:rPr>
      </w:pPr>
      <w:r>
        <w:rPr>
          <w:rFonts w:hint="eastAsia" w:ascii="宋体" w:hAnsi="宋体"/>
        </w:rPr>
        <w:t>注：包括但不限于以上内容，供应商根据本项目实际情况编写，格式自拟。</w:t>
      </w: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spacing w:line="360" w:lineRule="auto"/>
        <w:jc w:val="center"/>
        <w:outlineLvl w:val="1"/>
        <w:rPr>
          <w:rFonts w:ascii="宋体" w:hAnsi="宋体"/>
          <w:b/>
          <w:bCs/>
          <w:sz w:val="28"/>
        </w:rPr>
      </w:pPr>
    </w:p>
    <w:p>
      <w:pPr>
        <w:widowControl/>
        <w:jc w:val="center"/>
        <w:rPr>
          <w:rFonts w:ascii="宋体" w:hAnsi="宋体"/>
          <w:b/>
          <w:bCs/>
          <w:sz w:val="28"/>
        </w:rPr>
      </w:pPr>
      <w:r>
        <w:rPr>
          <w:rFonts w:hint="eastAsia" w:ascii="宋体" w:hAnsi="宋体"/>
          <w:b/>
          <w:bCs/>
          <w:sz w:val="28"/>
        </w:rPr>
        <w:br w:type="page"/>
      </w:r>
      <w:bookmarkEnd w:id="102"/>
      <w:bookmarkStart w:id="105" w:name="_Toc492757486"/>
      <w:bookmarkStart w:id="106" w:name="_Toc5817"/>
      <w:r>
        <w:rPr>
          <w:rFonts w:hint="eastAsia" w:ascii="宋体" w:hAnsi="宋体"/>
          <w:b/>
          <w:bCs/>
          <w:sz w:val="28"/>
        </w:rPr>
        <w:t>七、拒绝政府采购领域商业贿赂承诺书</w:t>
      </w:r>
      <w:bookmarkEnd w:id="105"/>
      <w:bookmarkEnd w:id="106"/>
    </w:p>
    <w:p>
      <w:pPr>
        <w:spacing w:line="400" w:lineRule="exact"/>
        <w:ind w:firstLine="210"/>
        <w:jc w:val="center"/>
        <w:rPr>
          <w:rFonts w:ascii="宋体" w:hAnsi="宋体"/>
          <w:b/>
          <w:sz w:val="30"/>
          <w:szCs w:val="30"/>
        </w:rPr>
      </w:pPr>
    </w:p>
    <w:p>
      <w:pPr>
        <w:spacing w:line="500" w:lineRule="exact"/>
        <w:jc w:val="center"/>
        <w:rPr>
          <w:rFonts w:ascii="宋体" w:hAnsi="宋体"/>
          <w:b/>
          <w:sz w:val="28"/>
          <w:szCs w:val="28"/>
        </w:rPr>
      </w:pPr>
      <w:r>
        <w:rPr>
          <w:rFonts w:hint="eastAsia" w:ascii="宋体" w:hAnsi="宋体"/>
          <w:b/>
          <w:sz w:val="28"/>
          <w:szCs w:val="28"/>
        </w:rPr>
        <w:t>陕西省政府采购供应商</w:t>
      </w:r>
    </w:p>
    <w:p>
      <w:pPr>
        <w:spacing w:line="500" w:lineRule="exact"/>
        <w:jc w:val="center"/>
        <w:rPr>
          <w:rFonts w:ascii="宋体" w:hAnsi="宋体"/>
          <w:b/>
          <w:sz w:val="28"/>
          <w:szCs w:val="28"/>
        </w:rPr>
      </w:pPr>
      <w:r>
        <w:rPr>
          <w:rFonts w:hint="eastAsia" w:ascii="宋体" w:hAnsi="宋体"/>
          <w:b/>
          <w:sz w:val="28"/>
          <w:szCs w:val="28"/>
        </w:rPr>
        <w:t>拒绝政府采购领域商业贿赂承诺书</w:t>
      </w:r>
    </w:p>
    <w:p>
      <w:pPr>
        <w:spacing w:line="400" w:lineRule="exact"/>
        <w:ind w:firstLine="210"/>
        <w:jc w:val="center"/>
        <w:rPr>
          <w:rFonts w:ascii="宋体" w:hAnsi="宋体"/>
          <w:b/>
          <w:sz w:val="30"/>
          <w:szCs w:val="30"/>
        </w:rPr>
      </w:pPr>
    </w:p>
    <w:p>
      <w:pPr>
        <w:spacing w:line="360" w:lineRule="auto"/>
        <w:ind w:firstLine="480" w:firstLineChars="200"/>
        <w:rPr>
          <w:rFonts w:ascii="宋体" w:hAnsi="宋体"/>
          <w:szCs w:val="22"/>
        </w:rPr>
      </w:pPr>
      <w:r>
        <w:rPr>
          <w:rFonts w:hint="eastAsia" w:ascii="宋体" w:hAnsi="宋体"/>
        </w:rPr>
        <w:t>为响应党中央、国务院关于治理政府采购领域商业贿赂行为的号召，我公司在此承诺：</w:t>
      </w:r>
    </w:p>
    <w:p>
      <w:pPr>
        <w:spacing w:line="360" w:lineRule="auto"/>
        <w:ind w:firstLine="480" w:firstLineChars="200"/>
        <w:rPr>
          <w:rFonts w:ascii="宋体" w:hAnsi="宋体"/>
        </w:rPr>
      </w:pPr>
      <w:r>
        <w:rPr>
          <w:rFonts w:hint="eastAsia" w:ascii="宋体" w:hAnsi="宋体"/>
        </w:rPr>
        <w:t>1、在参与政府采购活动中遵纪守法、诚信经营、公平竞标。</w:t>
      </w:r>
    </w:p>
    <w:p>
      <w:pPr>
        <w:spacing w:line="360" w:lineRule="auto"/>
        <w:ind w:firstLine="480" w:firstLineChars="200"/>
        <w:rPr>
          <w:rFonts w:ascii="宋体" w:hAnsi="宋体"/>
        </w:rPr>
      </w:pPr>
      <w:r>
        <w:rPr>
          <w:rFonts w:hint="eastAsia" w:ascii="宋体" w:hAnsi="宋体"/>
        </w:rPr>
        <w:t>2、不向政府采购人、采购代理机构和政府采购评审专家进行任何形式的商业贿赂以谋取交易机会。</w:t>
      </w:r>
    </w:p>
    <w:p>
      <w:pPr>
        <w:spacing w:line="360" w:lineRule="auto"/>
        <w:ind w:firstLine="480" w:firstLineChars="200"/>
        <w:rPr>
          <w:rFonts w:ascii="宋体" w:hAnsi="宋体"/>
        </w:rPr>
      </w:pPr>
      <w:r>
        <w:rPr>
          <w:rFonts w:hint="eastAsia" w:ascii="宋体" w:hAnsi="宋体"/>
        </w:rPr>
        <w:t>3、不向政府采购代理机构和采购人提供虚假资质文件或采用虚假应标方式参与政府采购市场竞争并谋取中标。</w:t>
      </w:r>
    </w:p>
    <w:p>
      <w:pPr>
        <w:spacing w:line="360" w:lineRule="auto"/>
        <w:ind w:firstLine="480" w:firstLineChars="200"/>
        <w:rPr>
          <w:rFonts w:ascii="宋体" w:hAnsi="宋体"/>
        </w:rPr>
      </w:pPr>
      <w:r>
        <w:rPr>
          <w:rFonts w:hint="eastAsia" w:ascii="宋体" w:hAnsi="宋体"/>
        </w:rPr>
        <w:t>4、不采取“围标、陪标”等商业欺诈手段获得政府采购定单。</w:t>
      </w:r>
    </w:p>
    <w:p>
      <w:pPr>
        <w:spacing w:line="360" w:lineRule="auto"/>
        <w:ind w:firstLine="480" w:firstLineChars="200"/>
        <w:rPr>
          <w:rFonts w:ascii="宋体" w:hAnsi="宋体"/>
        </w:rPr>
      </w:pPr>
      <w:r>
        <w:rPr>
          <w:rFonts w:hint="eastAsia" w:ascii="宋体" w:hAnsi="宋体"/>
        </w:rPr>
        <w:t>5、不采取不正当手段诋毁、排挤其他供应商。</w:t>
      </w:r>
    </w:p>
    <w:p>
      <w:pPr>
        <w:spacing w:line="360" w:lineRule="auto"/>
        <w:ind w:firstLine="480" w:firstLineChars="200"/>
        <w:rPr>
          <w:rFonts w:ascii="宋体" w:hAnsi="宋体"/>
        </w:rPr>
      </w:pPr>
      <w:r>
        <w:rPr>
          <w:rFonts w:hint="eastAsia" w:ascii="宋体" w:hAnsi="宋体"/>
        </w:rPr>
        <w:t>6、不在提供商品和服务时“偷梁换柱、以次充好”损害采购人的合法权益。</w:t>
      </w:r>
    </w:p>
    <w:p>
      <w:pPr>
        <w:spacing w:line="360" w:lineRule="auto"/>
        <w:ind w:firstLine="480" w:firstLineChars="200"/>
        <w:rPr>
          <w:rFonts w:ascii="宋体" w:hAnsi="宋体"/>
        </w:rPr>
      </w:pPr>
      <w:r>
        <w:rPr>
          <w:rFonts w:hint="eastAsia" w:ascii="宋体" w:hAnsi="宋体"/>
        </w:rPr>
        <w:t>7、不与采购人、采购代理机构政府采购评审专家或其他供应商恶意串通，进行质疑和投诉，维护政府采购市场秩序。</w:t>
      </w:r>
    </w:p>
    <w:p>
      <w:pPr>
        <w:spacing w:line="360" w:lineRule="auto"/>
        <w:ind w:firstLine="480" w:firstLineChars="200"/>
        <w:rPr>
          <w:rFonts w:ascii="宋体" w:hAnsi="宋体"/>
        </w:rPr>
      </w:pPr>
      <w:r>
        <w:rPr>
          <w:rFonts w:hint="eastAsia" w:ascii="宋体" w:hAnsi="宋体"/>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rPr>
      </w:pPr>
      <w:r>
        <w:rPr>
          <w:rFonts w:hint="eastAsia" w:ascii="宋体" w:hAnsi="宋体"/>
        </w:rPr>
        <w:t>9、不发生其他有悖于政府采购公开、公平、公正和诚实信用原则的行为。</w:t>
      </w:r>
    </w:p>
    <w:p>
      <w:pPr>
        <w:spacing w:line="480" w:lineRule="auto"/>
        <w:rPr>
          <w:rFonts w:ascii="宋体" w:hAnsi="宋体"/>
        </w:rPr>
      </w:pPr>
    </w:p>
    <w:p>
      <w:pPr>
        <w:spacing w:line="480" w:lineRule="auto"/>
        <w:rPr>
          <w:rFonts w:ascii="宋体" w:hAnsi="宋体"/>
        </w:rPr>
      </w:pPr>
    </w:p>
    <w:p>
      <w:pPr>
        <w:spacing w:line="480" w:lineRule="auto"/>
        <w:ind w:firstLine="480" w:firstLineChars="200"/>
        <w:rPr>
          <w:rFonts w:ascii="宋体" w:hAnsi="宋体"/>
        </w:rPr>
      </w:pPr>
      <w:r>
        <w:rPr>
          <w:rFonts w:hint="eastAsia" w:ascii="宋体" w:hAnsi="宋体"/>
        </w:rPr>
        <w:t>承诺单位：（盖章）                  全权代表：（签字）</w:t>
      </w:r>
    </w:p>
    <w:p>
      <w:pPr>
        <w:spacing w:line="480" w:lineRule="auto"/>
        <w:ind w:firstLine="480" w:firstLineChars="200"/>
        <w:rPr>
          <w:rFonts w:ascii="宋体" w:hAnsi="宋体"/>
        </w:rPr>
      </w:pPr>
      <w:r>
        <w:rPr>
          <w:rFonts w:hint="eastAsia" w:ascii="宋体" w:hAnsi="宋体"/>
        </w:rPr>
        <w:t>地址：                              邮编：</w:t>
      </w:r>
    </w:p>
    <w:p>
      <w:pPr>
        <w:spacing w:line="480" w:lineRule="auto"/>
        <w:ind w:firstLine="480" w:firstLineChars="200"/>
        <w:rPr>
          <w:rFonts w:ascii="宋体" w:hAnsi="宋体"/>
        </w:rPr>
      </w:pPr>
      <w:r>
        <w:rPr>
          <w:rFonts w:hint="eastAsia" w:ascii="宋体" w:hAnsi="宋体"/>
        </w:rPr>
        <w:t>电话：</w:t>
      </w:r>
    </w:p>
    <w:p>
      <w:pPr>
        <w:spacing w:line="480" w:lineRule="auto"/>
        <w:rPr>
          <w:rFonts w:ascii="宋体" w:hAnsi="宋体"/>
        </w:rPr>
      </w:pPr>
    </w:p>
    <w:p>
      <w:pPr>
        <w:spacing w:line="480" w:lineRule="auto"/>
        <w:rPr>
          <w:rFonts w:ascii="宋体" w:hAnsi="宋体"/>
        </w:rPr>
      </w:pPr>
    </w:p>
    <w:p>
      <w:pPr>
        <w:widowControl/>
        <w:jc w:val="left"/>
        <w:rPr>
          <w:rFonts w:ascii="宋体" w:hAnsi="宋体"/>
          <w:b/>
          <w:sz w:val="28"/>
          <w:szCs w:val="28"/>
        </w:rPr>
      </w:pPr>
      <w:bookmarkStart w:id="107" w:name="_Toc1373"/>
      <w:r>
        <w:rPr>
          <w:rFonts w:hint="eastAsia" w:ascii="宋体" w:hAnsi="宋体"/>
          <w:b/>
          <w:sz w:val="28"/>
          <w:szCs w:val="28"/>
        </w:rPr>
        <w:t>附件1：中小企业声明函</w:t>
      </w:r>
      <w:bookmarkEnd w:id="107"/>
      <w:r>
        <w:rPr>
          <w:rFonts w:hint="eastAsia" w:ascii="宋体" w:hAnsi="宋体"/>
          <w:b/>
          <w:sz w:val="28"/>
          <w:szCs w:val="28"/>
        </w:rPr>
        <w:t>（如用）</w:t>
      </w:r>
    </w:p>
    <w:p>
      <w:pPr>
        <w:widowControl/>
        <w:jc w:val="left"/>
        <w:rPr>
          <w:rFonts w:ascii="宋体" w:hAnsi="宋体" w:cs="宋体"/>
          <w:szCs w:val="22"/>
        </w:rPr>
      </w:pPr>
    </w:p>
    <w:p>
      <w:pPr>
        <w:jc w:val="center"/>
        <w:rPr>
          <w:rFonts w:ascii="宋体" w:hAnsi="宋体" w:cs="宋体"/>
          <w:color w:val="000000"/>
          <w:szCs w:val="24"/>
        </w:rPr>
      </w:pPr>
      <w:r>
        <w:rPr>
          <w:rFonts w:hint="eastAsia" w:ascii="宋体" w:hAnsi="宋体" w:cs="宋体"/>
          <w:b/>
          <w:bCs/>
          <w:color w:val="000000"/>
          <w:szCs w:val="24"/>
        </w:rPr>
        <w:t>中小企业声明函</w:t>
      </w:r>
    </w:p>
    <w:p>
      <w:pPr>
        <w:rPr>
          <w:rFonts w:ascii="宋体" w:hAnsi="宋体" w:cs="宋体"/>
          <w:color w:val="000000"/>
          <w:sz w:val="28"/>
          <w:szCs w:val="28"/>
        </w:rPr>
      </w:pPr>
    </w:p>
    <w:p>
      <w:pPr>
        <w:spacing w:line="360" w:lineRule="auto"/>
        <w:ind w:firstLine="480" w:firstLineChars="200"/>
        <w:rPr>
          <w:rFonts w:ascii="宋体" w:hAnsi="宋体" w:cs="宋体"/>
          <w:color w:val="000000"/>
          <w:szCs w:val="24"/>
        </w:rPr>
      </w:pPr>
      <w:r>
        <w:rPr>
          <w:rFonts w:hint="eastAsia" w:ascii="宋体" w:hAnsi="宋体" w:cs="宋体"/>
          <w:color w:val="000000"/>
          <w:szCs w:val="24"/>
        </w:rPr>
        <w:t>本公司郑重声明，根据《政府采购促进中小企业发展暂行办法》（财库[2011]181号）的规定，本公司为（请填写：中型、小型、微型）企业。即，本公司同时满足以下条件：</w:t>
      </w:r>
    </w:p>
    <w:p>
      <w:pPr>
        <w:spacing w:line="360" w:lineRule="auto"/>
        <w:ind w:firstLine="420"/>
        <w:rPr>
          <w:rFonts w:ascii="宋体" w:hAnsi="宋体" w:cs="宋体"/>
          <w:color w:val="000000"/>
          <w:szCs w:val="24"/>
        </w:rPr>
      </w:pPr>
      <w:r>
        <w:rPr>
          <w:rFonts w:hint="eastAsia" w:ascii="宋体" w:hAnsi="宋体" w:cs="宋体"/>
          <w:color w:val="000000"/>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20"/>
        <w:rPr>
          <w:rFonts w:ascii="宋体" w:hAnsi="宋体" w:cs="宋体"/>
          <w:color w:val="000000"/>
          <w:szCs w:val="24"/>
        </w:rPr>
      </w:pPr>
      <w:r>
        <w:rPr>
          <w:rFonts w:hint="eastAsia" w:ascii="宋体" w:hAnsi="宋体" w:cs="宋体"/>
          <w:color w:val="000000"/>
          <w:szCs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360" w:lineRule="auto"/>
        <w:ind w:firstLine="420"/>
        <w:rPr>
          <w:rFonts w:ascii="宋体" w:hAnsi="宋体" w:cs="宋体"/>
          <w:color w:val="000000"/>
          <w:szCs w:val="24"/>
        </w:rPr>
      </w:pPr>
      <w:r>
        <w:rPr>
          <w:rFonts w:hint="eastAsia" w:ascii="宋体" w:hAnsi="宋体" w:cs="宋体"/>
          <w:color w:val="000000"/>
          <w:szCs w:val="24"/>
        </w:rPr>
        <w:t>本公司对上述声明的真实性负责。如有虚假，将依法承担相应责任。</w:t>
      </w:r>
    </w:p>
    <w:p>
      <w:pPr>
        <w:spacing w:line="360" w:lineRule="auto"/>
        <w:rPr>
          <w:rFonts w:ascii="宋体" w:hAnsi="宋体" w:cs="宋体"/>
          <w:color w:val="000000"/>
          <w:szCs w:val="24"/>
        </w:rPr>
      </w:pPr>
    </w:p>
    <w:p>
      <w:pPr>
        <w:spacing w:line="360" w:lineRule="auto"/>
        <w:rPr>
          <w:rFonts w:ascii="宋体" w:hAnsi="宋体" w:cs="宋体"/>
          <w:color w:val="000000"/>
          <w:szCs w:val="24"/>
        </w:rPr>
      </w:pPr>
    </w:p>
    <w:p>
      <w:pPr>
        <w:spacing w:line="360" w:lineRule="auto"/>
        <w:rPr>
          <w:rFonts w:ascii="宋体" w:hAnsi="宋体" w:cs="宋体"/>
          <w:color w:val="000000"/>
          <w:szCs w:val="24"/>
        </w:rPr>
      </w:pPr>
    </w:p>
    <w:p>
      <w:pPr>
        <w:tabs>
          <w:tab w:val="left" w:pos="4860"/>
        </w:tabs>
        <w:spacing w:line="588" w:lineRule="exact"/>
        <w:ind w:right="1560" w:firstLine="480" w:firstLineChars="200"/>
        <w:jc w:val="center"/>
        <w:rPr>
          <w:rFonts w:ascii="宋体" w:hAnsi="宋体" w:cstheme="minorBidi"/>
          <w:szCs w:val="24"/>
        </w:rPr>
      </w:pPr>
      <w:r>
        <w:rPr>
          <w:rFonts w:hint="eastAsia" w:ascii="宋体" w:hAnsi="宋体"/>
          <w:szCs w:val="24"/>
        </w:rPr>
        <w:t xml:space="preserve">                                单位名称（盖章）： </w:t>
      </w:r>
    </w:p>
    <w:p>
      <w:pPr>
        <w:spacing w:line="360" w:lineRule="auto"/>
        <w:ind w:firstLine="4920" w:firstLineChars="2050"/>
        <w:rPr>
          <w:rFonts w:ascii="宋体" w:hAnsi="宋体" w:cs="宋体"/>
          <w:i/>
          <w:iCs/>
          <w:color w:val="000000"/>
          <w:szCs w:val="24"/>
          <w:u w:val="single"/>
        </w:rPr>
      </w:pPr>
      <w:r>
        <w:rPr>
          <w:rFonts w:hint="eastAsia" w:ascii="宋体" w:hAnsi="宋体"/>
          <w:szCs w:val="24"/>
        </w:rPr>
        <w:t>日期：</w:t>
      </w:r>
    </w:p>
    <w:p>
      <w:pPr>
        <w:spacing w:line="360" w:lineRule="auto"/>
        <w:ind w:firstLine="4800" w:firstLineChars="2000"/>
        <w:rPr>
          <w:rFonts w:ascii="宋体" w:hAnsi="宋体" w:cs="宋体"/>
          <w:i/>
          <w:iCs/>
          <w:color w:val="000000"/>
          <w:szCs w:val="24"/>
          <w:u w:val="single"/>
        </w:rPr>
      </w:pPr>
    </w:p>
    <w:p>
      <w:pPr>
        <w:adjustRightInd w:val="0"/>
        <w:snapToGrid w:val="0"/>
        <w:spacing w:line="360" w:lineRule="auto"/>
        <w:rPr>
          <w:rFonts w:ascii="宋体" w:hAnsiTheme="minorHAnsi" w:cstheme="minorBidi"/>
          <w:szCs w:val="24"/>
        </w:rPr>
      </w:pPr>
      <w:r>
        <w:rPr>
          <w:rFonts w:hint="eastAsia" w:ascii="宋体" w:hAnsi="宋体"/>
          <w:szCs w:val="24"/>
        </w:rPr>
        <w:t>注：</w:t>
      </w:r>
    </w:p>
    <w:p>
      <w:pPr>
        <w:adjustRightInd w:val="0"/>
        <w:snapToGrid w:val="0"/>
        <w:spacing w:line="360" w:lineRule="auto"/>
        <w:rPr>
          <w:rFonts w:ascii="宋体"/>
          <w:szCs w:val="24"/>
        </w:rPr>
      </w:pPr>
      <w:r>
        <w:rPr>
          <w:rFonts w:hint="eastAsia" w:ascii="宋体" w:hAnsi="宋体"/>
          <w:szCs w:val="24"/>
        </w:rPr>
        <w:t>1、供应商如满足《政府采购促进中小企业发展暂行办法》（财库[2011]181号）的中小企业，须提供《中小企业声明函》；</w:t>
      </w:r>
    </w:p>
    <w:p>
      <w:pPr>
        <w:spacing w:line="360" w:lineRule="auto"/>
        <w:rPr>
          <w:rFonts w:ascii="宋体" w:hAnsi="宋体" w:cs="宋体"/>
          <w:i/>
          <w:iCs/>
          <w:color w:val="000000"/>
          <w:szCs w:val="24"/>
          <w:u w:val="single"/>
        </w:rPr>
      </w:pPr>
      <w:r>
        <w:rPr>
          <w:rFonts w:hint="eastAsia" w:ascii="宋体" w:hAnsi="宋体"/>
          <w:szCs w:val="24"/>
        </w:rPr>
        <w:t>2、供应商还应出具中小企业管理部门开具的中小企业证明函，同时还需有财务审计资质的单位出具的上一年度（即2016年度）财务审计报告、从业人员证明（养老保险缴纳证明或劳动合同）等证明文件。</w:t>
      </w:r>
    </w:p>
    <w:p>
      <w:pPr>
        <w:spacing w:line="360" w:lineRule="auto"/>
        <w:ind w:firstLine="4800" w:firstLineChars="2000"/>
        <w:rPr>
          <w:rFonts w:ascii="宋体" w:hAnsi="宋体" w:cs="宋体"/>
          <w:i/>
          <w:iCs/>
          <w:color w:val="000000"/>
          <w:szCs w:val="24"/>
          <w:u w:val="single"/>
        </w:rPr>
      </w:pPr>
    </w:p>
    <w:p>
      <w:pPr>
        <w:spacing w:line="360" w:lineRule="auto"/>
        <w:ind w:firstLine="4800" w:firstLineChars="2000"/>
        <w:rPr>
          <w:rFonts w:ascii="宋体" w:hAnsi="宋体" w:cs="宋体"/>
          <w:i/>
          <w:iCs/>
          <w:color w:val="000000"/>
          <w:szCs w:val="24"/>
          <w:u w:val="single"/>
        </w:rPr>
      </w:pPr>
    </w:p>
    <w:p>
      <w:pPr>
        <w:widowControl/>
        <w:jc w:val="left"/>
        <w:rPr>
          <w:rFonts w:ascii="宋体" w:hAnsi="宋体" w:cstheme="minorBidi"/>
          <w:b/>
          <w:sz w:val="28"/>
          <w:szCs w:val="28"/>
        </w:rPr>
      </w:pPr>
      <w:r>
        <w:rPr>
          <w:rFonts w:hint="eastAsia" w:ascii="宋体" w:hAnsi="宋体"/>
          <w:b/>
          <w:sz w:val="28"/>
          <w:szCs w:val="28"/>
        </w:rPr>
        <w:br w:type="page"/>
      </w:r>
      <w:bookmarkStart w:id="108" w:name="_Toc25357"/>
      <w:r>
        <w:rPr>
          <w:rFonts w:hint="eastAsia" w:ascii="宋体" w:hAnsi="宋体"/>
          <w:b/>
          <w:sz w:val="28"/>
          <w:szCs w:val="28"/>
        </w:rPr>
        <w:t>附件2：“节能产品”、“环境标志产品”证明材料</w:t>
      </w:r>
      <w:bookmarkEnd w:id="108"/>
      <w:r>
        <w:rPr>
          <w:rFonts w:hint="eastAsia" w:ascii="宋体" w:hAnsi="宋体"/>
          <w:b/>
          <w:sz w:val="28"/>
          <w:szCs w:val="28"/>
        </w:rPr>
        <w:t>（如有）</w:t>
      </w:r>
    </w:p>
    <w:p>
      <w:pPr>
        <w:spacing w:line="500" w:lineRule="exact"/>
        <w:rPr>
          <w:rFonts w:asciiTheme="minorHAnsi" w:hAnsiTheme="minorHAnsi"/>
          <w:sz w:val="21"/>
          <w:szCs w:val="21"/>
        </w:rPr>
      </w:pPr>
    </w:p>
    <w:p>
      <w:pPr>
        <w:adjustRightInd w:val="0"/>
        <w:snapToGrid w:val="0"/>
        <w:spacing w:line="500" w:lineRule="exact"/>
        <w:rPr>
          <w:rFonts w:ascii="宋体" w:hAnsi="宋体"/>
          <w:szCs w:val="24"/>
        </w:rPr>
      </w:pPr>
      <w:r>
        <w:rPr>
          <w:rFonts w:hint="eastAsia" w:ascii="宋体" w:hAnsi="宋体"/>
          <w:szCs w:val="24"/>
        </w:rPr>
        <w:t>说明：1、投标人提供的产品属于下列情形，应按第三章评标办法第4.2.2款规定提供相关证明材料(清单或目录所在页复印件)，并在《货物分项报价表》中提供相应数据。</w:t>
      </w:r>
    </w:p>
    <w:p>
      <w:pPr>
        <w:adjustRightInd w:val="0"/>
        <w:snapToGrid w:val="0"/>
        <w:spacing w:line="500" w:lineRule="exact"/>
        <w:rPr>
          <w:rFonts w:ascii="宋体" w:hAnsi="宋体"/>
          <w:bCs/>
          <w:szCs w:val="24"/>
        </w:rPr>
      </w:pPr>
      <w:r>
        <w:rPr>
          <w:rFonts w:hint="eastAsia" w:ascii="宋体" w:hAnsi="宋体"/>
          <w:bCs/>
          <w:szCs w:val="24"/>
        </w:rPr>
        <w:t>（1）符合</w:t>
      </w:r>
      <w:r>
        <w:rPr>
          <w:rFonts w:hint="eastAsia" w:ascii="宋体" w:hAnsi="宋体"/>
          <w:szCs w:val="24"/>
        </w:rPr>
        <w:t>政府采购强制采购政策的(《节能产品政府采购清单》中标记★符号节能产品及其他强制采购产品)；</w:t>
      </w:r>
    </w:p>
    <w:p>
      <w:pPr>
        <w:adjustRightInd w:val="0"/>
        <w:snapToGrid w:val="0"/>
        <w:spacing w:line="500" w:lineRule="exact"/>
        <w:rPr>
          <w:rFonts w:ascii="宋体" w:hAnsi="宋体"/>
          <w:bCs/>
          <w:szCs w:val="24"/>
        </w:rPr>
      </w:pPr>
      <w:r>
        <w:rPr>
          <w:rFonts w:hint="eastAsia" w:ascii="宋体" w:hAnsi="宋体"/>
          <w:bCs/>
          <w:szCs w:val="24"/>
        </w:rPr>
        <w:t>（2）符合</w:t>
      </w:r>
      <w:r>
        <w:rPr>
          <w:rFonts w:hint="eastAsia" w:ascii="宋体" w:hAnsi="宋体"/>
          <w:szCs w:val="24"/>
        </w:rPr>
        <w:t>政府采购优先采购政策的(《节能产品政府采购清单》中非标记★符号节能产品，《环境标志产品政府采购清单》中环境标志</w:t>
      </w:r>
      <w:r>
        <w:rPr>
          <w:rFonts w:hint="eastAsia" w:ascii="宋体" w:hAnsi="宋体"/>
          <w:bCs/>
          <w:szCs w:val="24"/>
        </w:rPr>
        <w:t>产品</w:t>
      </w:r>
      <w:r>
        <w:rPr>
          <w:rFonts w:hint="eastAsia" w:ascii="宋体" w:hAnsi="宋体"/>
          <w:szCs w:val="24"/>
        </w:rPr>
        <w:t>。</w:t>
      </w:r>
    </w:p>
    <w:p>
      <w:pPr>
        <w:spacing w:line="500" w:lineRule="exact"/>
        <w:rPr>
          <w:rFonts w:ascii="宋体" w:hAnsi="宋体"/>
          <w:bCs/>
          <w:szCs w:val="24"/>
        </w:rPr>
      </w:pPr>
      <w:r>
        <w:rPr>
          <w:rFonts w:hint="eastAsia" w:ascii="宋体" w:hAnsi="宋体"/>
          <w:bCs/>
          <w:szCs w:val="24"/>
        </w:rPr>
        <w:t>2、未按上述要求提供、</w:t>
      </w:r>
      <w:r>
        <w:rPr>
          <w:rFonts w:hint="eastAsia" w:ascii="宋体" w:hAnsi="宋体"/>
          <w:szCs w:val="24"/>
        </w:rPr>
        <w:t>填写</w:t>
      </w:r>
      <w:r>
        <w:rPr>
          <w:rFonts w:hint="eastAsia" w:ascii="宋体" w:hAnsi="宋体"/>
          <w:bCs/>
          <w:szCs w:val="24"/>
        </w:rPr>
        <w:t>的，评标时不予以考虑。</w:t>
      </w:r>
    </w:p>
    <w:p>
      <w:pPr>
        <w:spacing w:line="500" w:lineRule="exact"/>
        <w:rPr>
          <w:rFonts w:ascii="宋体" w:hAnsi="宋体"/>
          <w:bCs/>
          <w:sz w:val="21"/>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500" w:lineRule="exact"/>
        <w:rPr>
          <w:rFonts w:ascii="宋体" w:hAnsi="宋体"/>
          <w:bCs/>
          <w:szCs w:val="21"/>
        </w:rPr>
      </w:pPr>
    </w:p>
    <w:p>
      <w:pPr>
        <w:spacing w:line="360" w:lineRule="auto"/>
        <w:ind w:firstLine="4800" w:firstLineChars="2000"/>
        <w:rPr>
          <w:rFonts w:ascii="宋体" w:hAnsi="宋体"/>
          <w:szCs w:val="21"/>
        </w:rPr>
      </w:pPr>
    </w:p>
    <w:p>
      <w:pPr>
        <w:spacing w:line="360" w:lineRule="auto"/>
        <w:ind w:firstLine="4800" w:firstLineChars="2000"/>
        <w:rPr>
          <w:rFonts w:ascii="宋体" w:hAnsi="宋体" w:cs="宋体"/>
          <w:i/>
          <w:iCs/>
          <w:color w:val="000000"/>
          <w:szCs w:val="24"/>
          <w:u w:val="single"/>
        </w:rPr>
      </w:pPr>
    </w:p>
    <w:p>
      <w:pPr>
        <w:widowControl/>
        <w:jc w:val="left"/>
        <w:rPr>
          <w:rFonts w:ascii="宋体" w:hAnsi="宋体" w:cstheme="minorBidi"/>
          <w:b/>
          <w:sz w:val="28"/>
          <w:szCs w:val="28"/>
        </w:rPr>
      </w:pPr>
      <w:r>
        <w:rPr>
          <w:rFonts w:hint="eastAsia" w:ascii="宋体" w:hAnsi="宋体"/>
          <w:b/>
          <w:sz w:val="28"/>
          <w:szCs w:val="28"/>
        </w:rPr>
        <w:t>附件3：残疾人福利性单位声明函（如有）</w:t>
      </w:r>
    </w:p>
    <w:p>
      <w:pPr>
        <w:spacing w:line="588" w:lineRule="exact"/>
        <w:rPr>
          <w:rFonts w:ascii="宋体" w:hAnsi="宋体"/>
          <w:b/>
          <w:spacing w:val="6"/>
          <w:sz w:val="21"/>
          <w:szCs w:val="21"/>
        </w:rPr>
      </w:pPr>
    </w:p>
    <w:p>
      <w:pPr>
        <w:adjustRightInd w:val="0"/>
        <w:snapToGrid w:val="0"/>
        <w:spacing w:line="500" w:lineRule="exact"/>
        <w:ind w:firstLine="480" w:firstLineChars="200"/>
        <w:rPr>
          <w:rFonts w:ascii="宋体" w:hAnsi="宋体"/>
          <w:szCs w:val="24"/>
        </w:rPr>
      </w:pPr>
      <w:r>
        <w:rPr>
          <w:rFonts w:hint="eastAsia" w:ascii="宋体" w:hAnsi="宋体"/>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500" w:lineRule="exact"/>
        <w:ind w:firstLine="480" w:firstLineChars="200"/>
        <w:rPr>
          <w:rFonts w:ascii="宋体" w:hAnsi="宋体"/>
          <w:szCs w:val="24"/>
        </w:rPr>
      </w:pPr>
      <w:r>
        <w:rPr>
          <w:rFonts w:hint="eastAsia" w:ascii="宋体" w:hAnsi="宋体"/>
          <w:szCs w:val="24"/>
        </w:rPr>
        <w:t>本单位对上述声明的真实性负责。如有虚假，将依法承担相应责任。</w:t>
      </w:r>
    </w:p>
    <w:p>
      <w:pPr>
        <w:spacing w:line="588" w:lineRule="exact"/>
        <w:ind w:firstLine="444" w:firstLineChars="200"/>
        <w:rPr>
          <w:rFonts w:ascii="宋体" w:hAnsi="宋体"/>
          <w:spacing w:val="6"/>
          <w:sz w:val="21"/>
          <w:szCs w:val="21"/>
        </w:rPr>
      </w:pPr>
    </w:p>
    <w:p>
      <w:pPr>
        <w:spacing w:line="588" w:lineRule="exact"/>
        <w:ind w:firstLine="504" w:firstLineChars="200"/>
        <w:rPr>
          <w:rFonts w:ascii="宋体" w:hAnsi="宋体"/>
          <w:spacing w:val="6"/>
          <w:szCs w:val="21"/>
        </w:rPr>
      </w:pPr>
    </w:p>
    <w:p>
      <w:pPr>
        <w:tabs>
          <w:tab w:val="left" w:pos="4860"/>
        </w:tabs>
        <w:spacing w:line="588" w:lineRule="exact"/>
        <w:ind w:right="1560" w:firstLine="480" w:firstLineChars="200"/>
        <w:jc w:val="center"/>
        <w:rPr>
          <w:rFonts w:ascii="宋体" w:hAnsi="宋体"/>
          <w:szCs w:val="24"/>
        </w:rPr>
      </w:pPr>
      <w:r>
        <w:rPr>
          <w:rFonts w:hint="eastAsia" w:ascii="宋体" w:hAnsi="宋体"/>
          <w:szCs w:val="24"/>
        </w:rPr>
        <w:t xml:space="preserve">      单位名称（盖章）：</w:t>
      </w:r>
    </w:p>
    <w:p>
      <w:pPr>
        <w:tabs>
          <w:tab w:val="left" w:pos="4860"/>
        </w:tabs>
        <w:spacing w:line="588" w:lineRule="exact"/>
        <w:ind w:right="1560" w:firstLine="480" w:firstLineChars="200"/>
        <w:jc w:val="center"/>
        <w:rPr>
          <w:rFonts w:ascii="宋体" w:hAnsi="宋体"/>
          <w:szCs w:val="24"/>
        </w:rPr>
      </w:pPr>
      <w:r>
        <w:rPr>
          <w:rFonts w:hint="eastAsia" w:ascii="宋体" w:hAnsi="宋体"/>
          <w:szCs w:val="24"/>
        </w:rPr>
        <w:t xml:space="preserve">             日期：</w:t>
      </w:r>
    </w:p>
    <w:p>
      <w:pPr>
        <w:spacing w:line="440" w:lineRule="exact"/>
        <w:rPr>
          <w:rFonts w:ascii="宋体" w:hAnsi="宋体"/>
          <w:sz w:val="21"/>
          <w:szCs w:val="21"/>
        </w:rPr>
      </w:pPr>
    </w:p>
    <w:p>
      <w:pPr>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br w:type="textWrapping"/>
      </w: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p>
    <w:p>
      <w:pPr>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附件4：</w:t>
      </w:r>
    </w:p>
    <w:p>
      <w:pPr>
        <w:pStyle w:val="11"/>
        <w:snapToGrid w:val="0"/>
        <w:spacing w:line="460" w:lineRule="exact"/>
        <w:jc w:val="center"/>
        <w:rPr>
          <w:rFonts w:ascii="仿宋" w:hAnsi="仿宋" w:eastAsia="仿宋"/>
          <w:sz w:val="32"/>
          <w:szCs w:val="32"/>
        </w:rPr>
      </w:pPr>
      <w:bookmarkStart w:id="109" w:name="_Toc6177"/>
      <w:bookmarkStart w:id="110" w:name="_Toc3586"/>
      <w:bookmarkStart w:id="111" w:name="_Toc19795"/>
      <w:bookmarkStart w:id="112" w:name="_Toc25810"/>
      <w:bookmarkStart w:id="113" w:name="_Toc2252"/>
      <w:bookmarkStart w:id="114" w:name="_Toc9350"/>
      <w:r>
        <w:rPr>
          <w:rStyle w:val="21"/>
          <w:rFonts w:hint="eastAsia" w:cs="宋体"/>
          <w:sz w:val="32"/>
          <w:szCs w:val="32"/>
        </w:rPr>
        <w:t>政府采购投标担保函（项目用）</w:t>
      </w:r>
      <w:bookmarkEnd w:id="109"/>
      <w:bookmarkEnd w:id="110"/>
      <w:bookmarkEnd w:id="111"/>
      <w:bookmarkEnd w:id="112"/>
      <w:bookmarkEnd w:id="113"/>
      <w:bookmarkEnd w:id="114"/>
    </w:p>
    <w:p>
      <w:pPr>
        <w:pStyle w:val="11"/>
        <w:snapToGrid w:val="0"/>
        <w:spacing w:line="360" w:lineRule="auto"/>
        <w:jc w:val="center"/>
        <w:rPr>
          <w:rFonts w:ascii="宋体" w:hAnsi="宋体" w:eastAsiaTheme="minorEastAsia"/>
          <w:szCs w:val="22"/>
        </w:rPr>
      </w:pPr>
      <w:r>
        <w:rPr>
          <w:rFonts w:hint="eastAsia"/>
        </w:rPr>
        <w:t>编号：</w:t>
      </w:r>
    </w:p>
    <w:p>
      <w:pPr>
        <w:pStyle w:val="11"/>
        <w:snapToGrid w:val="0"/>
        <w:spacing w:afterLines="50" w:line="360" w:lineRule="auto"/>
      </w:pPr>
      <w:r>
        <w:rPr>
          <w:rFonts w:hint="eastAsia"/>
          <w:u w:val="single"/>
        </w:rPr>
        <w:t xml:space="preserve">                  </w:t>
      </w:r>
      <w:r>
        <w:rPr>
          <w:rFonts w:hint="eastAsia"/>
        </w:rPr>
        <w:t>（采购人或采购代理机构）：</w:t>
      </w:r>
    </w:p>
    <w:p>
      <w:pPr>
        <w:pStyle w:val="11"/>
        <w:snapToGrid w:val="0"/>
        <w:spacing w:afterLines="50" w:line="360" w:lineRule="auto"/>
        <w:ind w:firstLine="540"/>
      </w:pPr>
      <w:r>
        <w:rPr>
          <w:rFonts w:hint="eastAsia"/>
        </w:rPr>
        <w:t>鉴于</w:t>
      </w:r>
      <w:r>
        <w:rPr>
          <w:rFonts w:hint="eastAsia"/>
          <w:u w:val="single"/>
        </w:rPr>
        <w:t xml:space="preserve">       </w:t>
      </w:r>
      <w:r>
        <w:rPr>
          <w:rFonts w:hint="eastAsia"/>
        </w:rPr>
        <w:t>（以下简称“供应商”）拟参加编号</w:t>
      </w:r>
      <w:r>
        <w:rPr>
          <w:rFonts w:hint="eastAsia"/>
          <w:u w:val="single"/>
        </w:rPr>
        <w:t xml:space="preserve">    </w:t>
      </w:r>
      <w:r>
        <w:rPr>
          <w:rFonts w:hint="eastAsia"/>
        </w:rPr>
        <w:t>的</w:t>
      </w:r>
      <w:r>
        <w:rPr>
          <w:rFonts w:hint="eastAsia"/>
          <w:u w:val="single"/>
        </w:rPr>
        <w:t xml:space="preserve">       </w:t>
      </w:r>
      <w:r>
        <w:rPr>
          <w:rFonts w:hint="eastAsia"/>
        </w:rPr>
        <w:t>项目（以下简称“本项目名称及包号”）投标，根据本项目招标文件，供应商参加投标时应向你方缴纳投标保证金，且可以投标担保函的形式缴纳投标保证金。应供应商的申请，我方以保证的方式向你方提供如下投标保证金担保：</w:t>
      </w:r>
    </w:p>
    <w:p>
      <w:pPr>
        <w:pStyle w:val="11"/>
        <w:snapToGrid w:val="0"/>
        <w:spacing w:afterLines="50" w:line="360" w:lineRule="auto"/>
        <w:ind w:firstLine="420"/>
      </w:pPr>
      <w:r>
        <w:rPr>
          <w:rFonts w:hint="eastAsia"/>
        </w:rPr>
        <w:t>一、保证责任的情形及保证金额</w:t>
      </w:r>
    </w:p>
    <w:p>
      <w:pPr>
        <w:pStyle w:val="11"/>
        <w:snapToGrid w:val="0"/>
        <w:spacing w:afterLines="50" w:line="360" w:lineRule="auto"/>
        <w:ind w:firstLine="210"/>
      </w:pPr>
      <w:r>
        <w:rPr>
          <w:rFonts w:hint="eastAsia"/>
        </w:rPr>
        <w:t>（一）在供应商出现下列情形之一时，我方承担保证责任：</w:t>
      </w:r>
    </w:p>
    <w:p>
      <w:pPr>
        <w:pStyle w:val="11"/>
        <w:snapToGrid w:val="0"/>
        <w:spacing w:afterLines="50" w:line="360" w:lineRule="auto"/>
        <w:ind w:firstLine="420"/>
      </w:pPr>
      <w:r>
        <w:rPr>
          <w:rFonts w:hint="eastAsia"/>
        </w:rPr>
        <w:t>1．成交后供应商无正当理由不与采购人或者采购代理机构签订《政府采购合同》；</w:t>
      </w:r>
    </w:p>
    <w:p>
      <w:pPr>
        <w:pStyle w:val="11"/>
        <w:snapToGrid w:val="0"/>
        <w:spacing w:afterLines="50" w:line="360" w:lineRule="auto"/>
        <w:ind w:firstLine="420"/>
      </w:pPr>
      <w:r>
        <w:rPr>
          <w:rFonts w:hint="eastAsia"/>
        </w:rPr>
        <w:t>2．招标文件规定的供应商应当缴纳保证金的其他情形。</w:t>
      </w:r>
    </w:p>
    <w:p>
      <w:pPr>
        <w:pStyle w:val="11"/>
        <w:snapToGrid w:val="0"/>
        <w:spacing w:afterLines="50" w:line="360" w:lineRule="auto"/>
        <w:ind w:firstLine="210"/>
      </w:pPr>
      <w:r>
        <w:rPr>
          <w:rFonts w:hint="eastAsia"/>
        </w:rPr>
        <w:t>（二）我方承担保证责任的最高金额为人民币</w:t>
      </w:r>
      <w:r>
        <w:rPr>
          <w:rFonts w:hint="eastAsia"/>
          <w:u w:val="single"/>
        </w:rPr>
        <w:t xml:space="preserve">      </w:t>
      </w:r>
      <w:r>
        <w:rPr>
          <w:rFonts w:hint="eastAsia"/>
        </w:rPr>
        <w:t>元（大写</w:t>
      </w:r>
      <w:r>
        <w:rPr>
          <w:rFonts w:hint="eastAsia"/>
          <w:u w:val="single"/>
        </w:rPr>
        <w:t xml:space="preserve">       </w:t>
      </w:r>
      <w:r>
        <w:rPr>
          <w:rFonts w:hint="eastAsia"/>
        </w:rPr>
        <w:t>），即本项目的投标保证金金额。</w:t>
      </w:r>
    </w:p>
    <w:p>
      <w:pPr>
        <w:pStyle w:val="11"/>
        <w:snapToGrid w:val="0"/>
        <w:spacing w:afterLines="50" w:line="360" w:lineRule="auto"/>
        <w:ind w:firstLine="420"/>
      </w:pPr>
      <w:r>
        <w:rPr>
          <w:rFonts w:hint="eastAsia"/>
        </w:rPr>
        <w:t>二、保证的方式及保证期间</w:t>
      </w:r>
    </w:p>
    <w:p>
      <w:pPr>
        <w:pStyle w:val="11"/>
        <w:snapToGrid w:val="0"/>
        <w:spacing w:afterLines="50" w:line="360" w:lineRule="auto"/>
        <w:ind w:firstLine="420"/>
      </w:pPr>
      <w:r>
        <w:rPr>
          <w:rFonts w:hint="eastAsia"/>
        </w:rPr>
        <w:t>我方保证的方式为：连带责任保证。</w:t>
      </w:r>
    </w:p>
    <w:p>
      <w:pPr>
        <w:pStyle w:val="11"/>
        <w:snapToGrid w:val="0"/>
        <w:spacing w:afterLines="50" w:line="360" w:lineRule="auto"/>
        <w:ind w:firstLine="420"/>
      </w:pPr>
      <w:r>
        <w:rPr>
          <w:rFonts w:hint="eastAsia"/>
        </w:rPr>
        <w:t>我方的保证期间为：自本保函生效之日起</w:t>
      </w:r>
      <w:r>
        <w:rPr>
          <w:rFonts w:hint="eastAsia"/>
          <w:u w:val="single"/>
        </w:rPr>
        <w:t xml:space="preserve">    </w:t>
      </w:r>
      <w:r>
        <w:rPr>
          <w:rFonts w:hint="eastAsia"/>
        </w:rPr>
        <w:t>个月止。</w:t>
      </w:r>
    </w:p>
    <w:p>
      <w:pPr>
        <w:pStyle w:val="11"/>
        <w:snapToGrid w:val="0"/>
        <w:spacing w:afterLines="50" w:line="360" w:lineRule="auto"/>
        <w:ind w:firstLine="420"/>
      </w:pPr>
      <w:r>
        <w:rPr>
          <w:rFonts w:hint="eastAsia"/>
        </w:rPr>
        <w:t>三、承担保证责任的程序</w:t>
      </w:r>
    </w:p>
    <w:p>
      <w:pPr>
        <w:pStyle w:val="11"/>
        <w:snapToGrid w:val="0"/>
        <w:spacing w:afterLines="50" w:line="360" w:lineRule="auto"/>
        <w:ind w:firstLine="420"/>
      </w:pPr>
      <w:r>
        <w:rPr>
          <w:rFonts w:hint="eastAsia"/>
        </w:rPr>
        <w:t>1．你方要求我方承担保证责任的，应在本保函保证期间内向我方发出书面索赔通知。索赔通知应写明要求索赔的金额，支付款项应到达的账号，并附有证明供应商发生我方应承担保证责任情形的事实材料。</w:t>
      </w:r>
    </w:p>
    <w:p>
      <w:pPr>
        <w:pStyle w:val="11"/>
        <w:snapToGrid w:val="0"/>
        <w:spacing w:afterLines="50" w:line="360" w:lineRule="auto"/>
        <w:ind w:firstLine="420"/>
      </w:pPr>
      <w:r>
        <w:rPr>
          <w:rFonts w:hint="eastAsia"/>
        </w:rPr>
        <w:t>2．我方在收到索赔通知及相关证明材料后，在</w:t>
      </w:r>
      <w:r>
        <w:rPr>
          <w:rFonts w:hint="eastAsia"/>
          <w:u w:val="single"/>
        </w:rPr>
        <w:t xml:space="preserve">   </w:t>
      </w:r>
      <w:r>
        <w:rPr>
          <w:rFonts w:hint="eastAsia"/>
        </w:rPr>
        <w:t>个工作日内进行审查，符合应承担保证责任情形的，我方应按照你方的要求代供应商向你方支付投标保证金。</w:t>
      </w:r>
    </w:p>
    <w:p>
      <w:pPr>
        <w:pStyle w:val="11"/>
        <w:snapToGrid w:val="0"/>
        <w:spacing w:afterLines="50" w:line="360" w:lineRule="auto"/>
        <w:ind w:firstLine="420"/>
      </w:pPr>
      <w:r>
        <w:rPr>
          <w:rFonts w:hint="eastAsia"/>
        </w:rPr>
        <w:t>四、保证责任的终止</w:t>
      </w:r>
    </w:p>
    <w:p>
      <w:pPr>
        <w:pStyle w:val="11"/>
        <w:snapToGrid w:val="0"/>
        <w:spacing w:afterLines="50" w:line="360" w:lineRule="auto"/>
        <w:ind w:firstLine="420"/>
      </w:pPr>
      <w:r>
        <w:rPr>
          <w:rFonts w:hint="eastAsia"/>
        </w:rPr>
        <w:t>1．保证期间届满你方未向我方书面主张保证责任的，自保证期间届满次日起，我方保证责任自动终止。</w:t>
      </w:r>
    </w:p>
    <w:p>
      <w:pPr>
        <w:pStyle w:val="11"/>
        <w:snapToGrid w:val="0"/>
        <w:spacing w:afterLines="50" w:line="360" w:lineRule="auto"/>
        <w:ind w:firstLine="420"/>
      </w:pPr>
      <w:r>
        <w:rPr>
          <w:rFonts w:hint="eastAsia"/>
        </w:rPr>
        <w:t>2．我方按照本保函向你方履行了保证责任后，自我方向你方支付款项（支付款项从我方账户划出）之日起，保证责任终止。</w:t>
      </w:r>
    </w:p>
    <w:p>
      <w:pPr>
        <w:pStyle w:val="11"/>
        <w:snapToGrid w:val="0"/>
        <w:spacing w:afterLines="50" w:line="360" w:lineRule="auto"/>
        <w:ind w:firstLine="420"/>
      </w:pPr>
      <w:r>
        <w:rPr>
          <w:rFonts w:hint="eastAsia"/>
        </w:rPr>
        <w:t>3．按照法律法规的规定或出现我方保证责任终止的其它情形的，我方在本保函项下的保证责任亦终止。</w:t>
      </w:r>
    </w:p>
    <w:p>
      <w:pPr>
        <w:pStyle w:val="11"/>
        <w:snapToGrid w:val="0"/>
        <w:spacing w:afterLines="50" w:line="360" w:lineRule="auto"/>
        <w:ind w:firstLine="420"/>
      </w:pPr>
      <w:r>
        <w:rPr>
          <w:rFonts w:hint="eastAsia"/>
        </w:rPr>
        <w:t>五、免责条款</w:t>
      </w:r>
    </w:p>
    <w:p>
      <w:pPr>
        <w:pStyle w:val="11"/>
        <w:snapToGrid w:val="0"/>
        <w:spacing w:afterLines="50" w:line="360" w:lineRule="auto"/>
        <w:ind w:firstLine="420"/>
      </w:pPr>
      <w:r>
        <w:rPr>
          <w:rFonts w:hint="eastAsia"/>
        </w:rPr>
        <w:t>1．依照法律规定或你方与供应商的另行约定，全部或者部分免除供应商投标保证金义务时，我方亦免除相应的保证责任。</w:t>
      </w:r>
    </w:p>
    <w:p>
      <w:pPr>
        <w:pStyle w:val="11"/>
        <w:snapToGrid w:val="0"/>
        <w:spacing w:afterLines="50" w:line="360" w:lineRule="auto"/>
        <w:ind w:firstLine="420"/>
      </w:pPr>
      <w:r>
        <w:rPr>
          <w:rFonts w:hint="eastAsia"/>
        </w:rPr>
        <w:t>2．因你方原因致使供应商发生本保函第一条第（一）款约定情形的，我方不承担保证责任。</w:t>
      </w:r>
    </w:p>
    <w:p>
      <w:pPr>
        <w:pStyle w:val="11"/>
        <w:snapToGrid w:val="0"/>
        <w:spacing w:afterLines="50" w:line="360" w:lineRule="auto"/>
        <w:ind w:firstLine="420"/>
      </w:pPr>
      <w:r>
        <w:rPr>
          <w:rFonts w:hint="eastAsia"/>
        </w:rPr>
        <w:t>3．因不可抗力造成供应商发生本保函第一条约定情形的，我方不承担保证责任。</w:t>
      </w:r>
    </w:p>
    <w:p>
      <w:pPr>
        <w:pStyle w:val="11"/>
        <w:snapToGrid w:val="0"/>
        <w:spacing w:afterLines="50" w:line="360" w:lineRule="auto"/>
        <w:ind w:firstLine="420"/>
      </w:pPr>
      <w:r>
        <w:rPr>
          <w:rFonts w:hint="eastAsia"/>
        </w:rPr>
        <w:t>4．你方或其他有权机关对招标文件进行任何澄清或修改，加重我方保证责任的，我方对加重部分不承担保证责任，但该澄清或修改经我方事先书面同意的除外。</w:t>
      </w:r>
    </w:p>
    <w:p>
      <w:pPr>
        <w:pStyle w:val="11"/>
        <w:snapToGrid w:val="0"/>
        <w:spacing w:afterLines="50" w:line="360" w:lineRule="auto"/>
        <w:ind w:firstLine="420"/>
      </w:pPr>
      <w:r>
        <w:rPr>
          <w:rFonts w:hint="eastAsia"/>
        </w:rPr>
        <w:t>六、争议的解决</w:t>
      </w:r>
    </w:p>
    <w:p>
      <w:pPr>
        <w:pStyle w:val="11"/>
        <w:snapToGrid w:val="0"/>
        <w:spacing w:afterLines="50" w:line="360" w:lineRule="auto"/>
        <w:ind w:firstLine="420"/>
      </w:pPr>
      <w:r>
        <w:rPr>
          <w:rFonts w:hint="eastAsia"/>
        </w:rPr>
        <w:t>因本保函发生的纠纷，由你我双方协商解决，协商不成的，通过诉讼程序解决，诉讼管辖地法院为</w:t>
      </w:r>
      <w:r>
        <w:rPr>
          <w:rFonts w:hint="eastAsia"/>
          <w:u w:val="single"/>
        </w:rPr>
        <w:t xml:space="preserve">          </w:t>
      </w:r>
      <w:r>
        <w:rPr>
          <w:rFonts w:hint="eastAsia"/>
        </w:rPr>
        <w:t>法院。</w:t>
      </w:r>
    </w:p>
    <w:p>
      <w:pPr>
        <w:pStyle w:val="11"/>
        <w:snapToGrid w:val="0"/>
        <w:spacing w:afterLines="50" w:line="360" w:lineRule="auto"/>
        <w:ind w:firstLine="420"/>
      </w:pPr>
      <w:r>
        <w:rPr>
          <w:rFonts w:hint="eastAsia"/>
        </w:rPr>
        <w:t>七、保函的生效</w:t>
      </w:r>
    </w:p>
    <w:p>
      <w:pPr>
        <w:pStyle w:val="11"/>
        <w:snapToGrid w:val="0"/>
        <w:spacing w:afterLines="50" w:line="360" w:lineRule="auto"/>
        <w:ind w:firstLine="420"/>
      </w:pPr>
      <w:r>
        <w:rPr>
          <w:rFonts w:hint="eastAsia"/>
        </w:rPr>
        <w:t>本保函自我方加盖公章之日起生效。</w:t>
      </w:r>
    </w:p>
    <w:p>
      <w:pPr>
        <w:pStyle w:val="11"/>
        <w:snapToGrid w:val="0"/>
        <w:spacing w:afterLines="50" w:line="360" w:lineRule="auto"/>
        <w:ind w:firstLine="5565"/>
      </w:pPr>
      <w:r>
        <w:rPr>
          <w:rFonts w:hint="eastAsia"/>
        </w:rPr>
        <w:t>保证人：（公章）</w:t>
      </w:r>
    </w:p>
    <w:p>
      <w:pPr>
        <w:pStyle w:val="11"/>
        <w:snapToGrid w:val="0"/>
        <w:spacing w:afterLines="50" w:line="360" w:lineRule="auto"/>
      </w:pPr>
      <w:r>
        <w:rPr>
          <w:rFonts w:hint="eastAsia"/>
        </w:rPr>
        <w:t>                        年   月   日</w:t>
      </w:r>
    </w:p>
    <w:p>
      <w:pPr>
        <w:pStyle w:val="11"/>
        <w:snapToGrid w:val="0"/>
        <w:spacing w:line="640" w:lineRule="exact"/>
        <w:rPr>
          <w:b/>
          <w:sz w:val="32"/>
          <w:szCs w:val="32"/>
        </w:rPr>
      </w:pPr>
      <w:r>
        <w:rPr>
          <w:rFonts w:hint="eastAsia" w:ascii="宋体" w:hAnsi="宋体"/>
          <w:kern w:val="0"/>
        </w:rPr>
        <w:br w:type="page"/>
      </w:r>
      <w:r>
        <w:rPr>
          <w:rFonts w:hint="eastAsia"/>
          <w:b/>
          <w:sz w:val="32"/>
          <w:szCs w:val="32"/>
        </w:rPr>
        <w:t>附件5：</w:t>
      </w:r>
    </w:p>
    <w:p>
      <w:pPr>
        <w:pStyle w:val="11"/>
        <w:snapToGrid w:val="0"/>
        <w:spacing w:line="640" w:lineRule="exact"/>
        <w:jc w:val="center"/>
        <w:rPr>
          <w:sz w:val="22"/>
          <w:szCs w:val="22"/>
        </w:rPr>
      </w:pPr>
      <w:bookmarkStart w:id="115" w:name="_Toc4545"/>
      <w:bookmarkStart w:id="116" w:name="_Toc6433"/>
      <w:bookmarkStart w:id="117" w:name="_Toc9865"/>
      <w:bookmarkStart w:id="118" w:name="_Toc30605"/>
      <w:bookmarkStart w:id="119" w:name="_Toc31072"/>
      <w:bookmarkStart w:id="120" w:name="_Toc15327"/>
      <w:r>
        <w:rPr>
          <w:rStyle w:val="21"/>
          <w:rFonts w:hint="eastAsia" w:cs="宋体"/>
          <w:sz w:val="32"/>
          <w:szCs w:val="32"/>
        </w:rPr>
        <w:t>政府采购履约担保函（项目用）</w:t>
      </w:r>
      <w:bookmarkEnd w:id="115"/>
      <w:bookmarkEnd w:id="116"/>
      <w:bookmarkEnd w:id="117"/>
      <w:bookmarkEnd w:id="118"/>
      <w:bookmarkEnd w:id="119"/>
      <w:bookmarkEnd w:id="120"/>
    </w:p>
    <w:p>
      <w:pPr>
        <w:pStyle w:val="11"/>
        <w:snapToGrid w:val="0"/>
        <w:spacing w:line="400" w:lineRule="exact"/>
        <w:jc w:val="center"/>
      </w:pPr>
      <w:r>
        <w:rPr>
          <w:rFonts w:hint="eastAsia"/>
        </w:rPr>
        <w:t>编号：</w:t>
      </w:r>
    </w:p>
    <w:p>
      <w:pPr>
        <w:pStyle w:val="11"/>
        <w:snapToGrid w:val="0"/>
        <w:spacing w:afterLines="50" w:line="360" w:lineRule="auto"/>
      </w:pPr>
      <w:r>
        <w:rPr>
          <w:rFonts w:hint="eastAsia"/>
          <w:u w:val="single"/>
        </w:rPr>
        <w:t xml:space="preserve">                  </w:t>
      </w:r>
      <w:r>
        <w:rPr>
          <w:rFonts w:hint="eastAsia"/>
        </w:rPr>
        <w:t>（采购人或采购代理机构）：</w:t>
      </w:r>
    </w:p>
    <w:p>
      <w:pPr>
        <w:pStyle w:val="11"/>
        <w:snapToGrid w:val="0"/>
        <w:spacing w:afterLines="50" w:line="400" w:lineRule="exact"/>
        <w:ind w:firstLine="420"/>
      </w:pPr>
      <w:r>
        <w:rPr>
          <w:rFonts w:hint="eastAsia"/>
        </w:rPr>
        <w:t>鉴于你方与</w:t>
      </w:r>
      <w:r>
        <w:rPr>
          <w:rFonts w:hint="eastAsia"/>
          <w:u w:val="single"/>
        </w:rPr>
        <w:t xml:space="preserve">                    </w:t>
      </w:r>
      <w:r>
        <w:rPr>
          <w:rFonts w:hint="eastAsia"/>
        </w:rPr>
        <w:t>（以下简称供应商）于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日签定编号为</w:t>
      </w:r>
      <w:r>
        <w:rPr>
          <w:rFonts w:hint="eastAsia"/>
          <w:u w:val="single"/>
        </w:rPr>
        <w:t xml:space="preserve">      </w:t>
      </w:r>
      <w:r>
        <w:rPr>
          <w:rFonts w:hint="eastAsia"/>
        </w:rPr>
        <w:t> 的《</w:t>
      </w:r>
      <w:r>
        <w:rPr>
          <w:rFonts w:hint="eastAsia"/>
          <w:u w:val="single"/>
        </w:rPr>
        <w:t xml:space="preserve">           </w:t>
      </w:r>
      <w:r>
        <w:rPr>
          <w:rFonts w:hint="eastAsia"/>
        </w:rPr>
        <w:t>政府采购合同》（以下简称主合同），且依据该合同的约定，供应商应在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日前向你方缴纳履约保证金，且可以履约担保函的形式缴纳履约保证金。应供应商的申请，我方以保证的方式向你方提供如下履约保证金担保：</w:t>
      </w:r>
    </w:p>
    <w:p>
      <w:pPr>
        <w:pStyle w:val="11"/>
        <w:snapToGrid w:val="0"/>
        <w:spacing w:afterLines="50" w:line="400" w:lineRule="exact"/>
        <w:ind w:firstLine="420"/>
      </w:pPr>
      <w:r>
        <w:rPr>
          <w:rFonts w:hint="eastAsia"/>
        </w:rPr>
        <w:t>一、保证责任的情形及保证金额</w:t>
      </w:r>
    </w:p>
    <w:p>
      <w:pPr>
        <w:pStyle w:val="11"/>
        <w:snapToGrid w:val="0"/>
        <w:spacing w:afterLines="50" w:line="400" w:lineRule="exact"/>
        <w:ind w:firstLine="420"/>
      </w:pPr>
      <w:r>
        <w:rPr>
          <w:rFonts w:hint="eastAsia"/>
        </w:rPr>
        <w:t>（一）在供应商出现下列情形之一时，我方承担保证责任：</w:t>
      </w:r>
    </w:p>
    <w:p>
      <w:pPr>
        <w:pStyle w:val="11"/>
        <w:snapToGrid w:val="0"/>
        <w:spacing w:afterLines="50" w:line="400" w:lineRule="exact"/>
        <w:ind w:firstLine="420"/>
      </w:pPr>
      <w:r>
        <w:rPr>
          <w:rFonts w:hint="eastAsia"/>
        </w:rPr>
        <w:t>1．将成交项目转让给他人，或者在投标文件中未说明，且未经采购开标机构人同意，将成交项目分包给他人的；</w:t>
      </w:r>
    </w:p>
    <w:p>
      <w:pPr>
        <w:pStyle w:val="11"/>
        <w:snapToGrid w:val="0"/>
        <w:spacing w:afterLines="50" w:line="400" w:lineRule="exact"/>
      </w:pPr>
      <w:r>
        <w:rPr>
          <w:rFonts w:hint="eastAsia"/>
        </w:rPr>
        <w:t xml:space="preserve">  2．主合同约定的应当缴纳履约保证金的情形: </w:t>
      </w:r>
    </w:p>
    <w:p>
      <w:pPr>
        <w:pStyle w:val="11"/>
        <w:snapToGrid w:val="0"/>
        <w:spacing w:afterLines="50" w:line="400" w:lineRule="exact"/>
        <w:ind w:firstLine="420"/>
      </w:pPr>
      <w:r>
        <w:rPr>
          <w:rFonts w:hint="eastAsia"/>
        </w:rPr>
        <w:t>（1）未按主合同约定的质量、数量和期限供应货物/提供服务/完成工程的；</w:t>
      </w:r>
    </w:p>
    <w:p>
      <w:pPr>
        <w:pStyle w:val="11"/>
        <w:snapToGrid w:val="0"/>
        <w:spacing w:afterLines="50" w:line="400" w:lineRule="exact"/>
        <w:ind w:firstLine="420"/>
      </w:pPr>
      <w:r>
        <w:rPr>
          <w:rFonts w:hint="eastAsia"/>
        </w:rPr>
        <w:t>（2）</w:t>
      </w:r>
      <w:r>
        <w:rPr>
          <w:rFonts w:hint="eastAsia"/>
          <w:u w:val="single"/>
        </w:rPr>
        <w:t xml:space="preserve">                            </w:t>
      </w:r>
      <w:r>
        <w:rPr>
          <w:rFonts w:hint="eastAsia"/>
        </w:rPr>
        <w:t>。</w:t>
      </w:r>
    </w:p>
    <w:p>
      <w:pPr>
        <w:pStyle w:val="11"/>
        <w:snapToGrid w:val="0"/>
        <w:spacing w:afterLines="50" w:line="400" w:lineRule="exact"/>
        <w:ind w:firstLine="420"/>
      </w:pPr>
      <w:r>
        <w:rPr>
          <w:rFonts w:hint="eastAsia"/>
        </w:rPr>
        <w:t>（二）我方的保证范围是主合同约定的合同价款总额的</w:t>
      </w:r>
      <w:r>
        <w:rPr>
          <w:rFonts w:hint="eastAsia"/>
          <w:u w:val="single"/>
        </w:rPr>
        <w:t xml:space="preserve">        </w:t>
      </w:r>
      <w:r>
        <w:rPr>
          <w:rFonts w:hint="eastAsia"/>
        </w:rPr>
        <w:t>%数额为</w:t>
      </w:r>
      <w:r>
        <w:rPr>
          <w:rFonts w:hint="eastAsia"/>
          <w:u w:val="single"/>
        </w:rPr>
        <w:t xml:space="preserve">         </w:t>
      </w:r>
      <w:r>
        <w:rPr>
          <w:rFonts w:hint="eastAsia"/>
        </w:rPr>
        <w:t>元（大写</w:t>
      </w:r>
      <w:r>
        <w:rPr>
          <w:rFonts w:hint="eastAsia"/>
          <w:u w:val="single"/>
        </w:rPr>
        <w:t xml:space="preserve">           </w:t>
      </w:r>
      <w:r>
        <w:rPr>
          <w:rFonts w:hint="eastAsia"/>
        </w:rPr>
        <w:t>），币种为</w:t>
      </w:r>
      <w:r>
        <w:rPr>
          <w:rFonts w:hint="eastAsia"/>
          <w:u w:val="single"/>
        </w:rPr>
        <w:t xml:space="preserve">        </w:t>
      </w:r>
      <w:r>
        <w:rPr>
          <w:rFonts w:hint="eastAsia"/>
        </w:rPr>
        <w:t>。（即主合同履约保证金金额）</w:t>
      </w:r>
    </w:p>
    <w:p>
      <w:pPr>
        <w:pStyle w:val="11"/>
        <w:snapToGrid w:val="0"/>
        <w:spacing w:afterLines="50" w:line="400" w:lineRule="exact"/>
        <w:ind w:firstLine="420"/>
      </w:pPr>
      <w:r>
        <w:rPr>
          <w:rFonts w:hint="eastAsia"/>
        </w:rPr>
        <w:t>二、保证的方式及保证期间</w:t>
      </w:r>
    </w:p>
    <w:p>
      <w:pPr>
        <w:pStyle w:val="11"/>
        <w:snapToGrid w:val="0"/>
        <w:spacing w:afterLines="50" w:line="400" w:lineRule="exact"/>
        <w:ind w:firstLine="420"/>
      </w:pPr>
      <w:r>
        <w:rPr>
          <w:rFonts w:hint="eastAsia"/>
        </w:rPr>
        <w:t>我方保证的方式为：连带责任保证。</w:t>
      </w:r>
    </w:p>
    <w:p>
      <w:pPr>
        <w:pStyle w:val="11"/>
        <w:snapToGrid w:val="0"/>
        <w:spacing w:afterLines="50" w:line="400" w:lineRule="exact"/>
        <w:ind w:firstLine="420"/>
      </w:pPr>
      <w:r>
        <w:rPr>
          <w:rFonts w:hint="eastAsia"/>
        </w:rPr>
        <w:t>我方保证的期间为：自本合同生效之日起至供应商按照主合同约定的供货/完工期限届满后</w:t>
      </w:r>
      <w:r>
        <w:rPr>
          <w:rFonts w:hint="eastAsia"/>
          <w:u w:val="single"/>
        </w:rPr>
        <w:t xml:space="preserve">     </w:t>
      </w:r>
      <w:r>
        <w:rPr>
          <w:rFonts w:hint="eastAsia"/>
        </w:rPr>
        <w:t>日内。</w:t>
      </w:r>
    </w:p>
    <w:p>
      <w:pPr>
        <w:pStyle w:val="11"/>
        <w:snapToGrid w:val="0"/>
        <w:spacing w:afterLines="50" w:line="400" w:lineRule="exact"/>
        <w:ind w:firstLine="420"/>
      </w:pPr>
      <w:r>
        <w:rPr>
          <w:rFonts w:hint="eastAsia"/>
        </w:rPr>
        <w:t>如果供应商未按主合同约定向贵方供应货物/提供服务/完成工程的，由我方在保证金额内向你方支付上述款项。</w:t>
      </w:r>
    </w:p>
    <w:p>
      <w:pPr>
        <w:pStyle w:val="11"/>
        <w:snapToGrid w:val="0"/>
        <w:spacing w:afterLines="50" w:line="400" w:lineRule="exact"/>
        <w:ind w:firstLine="420"/>
      </w:pPr>
      <w:r>
        <w:rPr>
          <w:rFonts w:hint="eastAsia" w:ascii="宋体" w:hAnsi="宋体"/>
          <w:kern w:val="0"/>
        </w:rPr>
        <w:br w:type="page"/>
      </w:r>
      <w:r>
        <w:rPr>
          <w:rFonts w:hint="eastAsia"/>
        </w:rPr>
        <w:t>三、承担保证责任的程序</w:t>
      </w:r>
    </w:p>
    <w:p>
      <w:pPr>
        <w:pStyle w:val="11"/>
        <w:snapToGrid w:val="0"/>
        <w:spacing w:afterLines="50" w:line="400" w:lineRule="exact"/>
        <w:ind w:firstLine="420"/>
      </w:pPr>
      <w:r>
        <w:rPr>
          <w:rFonts w:hint="eastAsia"/>
        </w:rPr>
        <w:t>1．你方要求我方承担保证责任的，应在本保函保证期间内向我方发出书面索赔通知。索赔通知应写明要求索赔的金额，支付款项应到达的帐号。并附有证明供应商违约事实的证明材料。</w:t>
      </w:r>
    </w:p>
    <w:p>
      <w:pPr>
        <w:pStyle w:val="11"/>
        <w:snapToGrid w:val="0"/>
        <w:spacing w:afterLines="50" w:line="400" w:lineRule="exact"/>
        <w:ind w:firstLine="420"/>
      </w:pPr>
      <w:r>
        <w:rPr>
          <w:rFonts w:hint="eastAsia"/>
        </w:rPr>
        <w:t>如果你方与供应商因货物质量问题产生争议，你方还需同时提供</w:t>
      </w:r>
      <w:r>
        <w:rPr>
          <w:rFonts w:hint="eastAsia"/>
          <w:u w:val="single"/>
        </w:rPr>
        <w:t xml:space="preserve">        </w:t>
      </w:r>
      <w:r>
        <w:rPr>
          <w:rFonts w:hint="eastAsia"/>
        </w:rPr>
        <w:t>部门出具的质量检测报告，或经诉讼（仲裁）程序裁决后的裁决书、调解书，本保证人即按照检测结果或裁决书、调解书决定是否承担保证责任。</w:t>
      </w:r>
    </w:p>
    <w:p>
      <w:pPr>
        <w:pStyle w:val="11"/>
        <w:snapToGrid w:val="0"/>
        <w:spacing w:afterLines="50" w:line="400" w:lineRule="exact"/>
        <w:ind w:firstLine="420"/>
      </w:pPr>
      <w:r>
        <w:rPr>
          <w:rFonts w:hint="eastAsia"/>
        </w:rPr>
        <w:t>2．我方收到你方的书面索赔通知及相应证明材料，在</w:t>
      </w:r>
      <w:r>
        <w:rPr>
          <w:rFonts w:hint="eastAsia"/>
          <w:u w:val="single"/>
        </w:rPr>
        <w:t xml:space="preserve">     </w:t>
      </w:r>
      <w:r>
        <w:rPr>
          <w:rFonts w:hint="eastAsia"/>
        </w:rPr>
        <w:t>工作日内进行核定后按照本保函的承诺承担保证责任。</w:t>
      </w:r>
    </w:p>
    <w:p>
      <w:pPr>
        <w:pStyle w:val="11"/>
        <w:snapToGrid w:val="0"/>
        <w:spacing w:afterLines="50" w:line="400" w:lineRule="exact"/>
        <w:ind w:firstLine="420"/>
      </w:pPr>
      <w:r>
        <w:rPr>
          <w:rFonts w:hint="eastAsia"/>
        </w:rPr>
        <w:t>四、保证责任的终止</w:t>
      </w:r>
    </w:p>
    <w:p>
      <w:pPr>
        <w:pStyle w:val="11"/>
        <w:snapToGrid w:val="0"/>
        <w:spacing w:afterLines="50" w:line="400" w:lineRule="exact"/>
        <w:ind w:firstLine="420"/>
      </w:pPr>
      <w:r>
        <w:rPr>
          <w:rFonts w:hint="eastAsia"/>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Style w:val="11"/>
        <w:snapToGrid w:val="0"/>
        <w:spacing w:afterLines="50" w:line="400" w:lineRule="exact"/>
        <w:ind w:firstLine="420"/>
      </w:pPr>
      <w:r>
        <w:rPr>
          <w:rFonts w:hint="eastAsia"/>
        </w:rPr>
        <w:t>2．我方按照本保函向你方履行了保证责任后，自我方向你方支付款项（支付款项从我方账户划出）之日起，保证责任即终止。</w:t>
      </w:r>
    </w:p>
    <w:p>
      <w:pPr>
        <w:pStyle w:val="11"/>
        <w:snapToGrid w:val="0"/>
        <w:spacing w:afterLines="50" w:line="400" w:lineRule="exact"/>
        <w:ind w:firstLine="420"/>
      </w:pPr>
      <w:r>
        <w:rPr>
          <w:rFonts w:hint="eastAsia"/>
        </w:rPr>
        <w:t>3．按照法律法规的规定或出现应终止我方保证责任的其它情形的，我方在本保函项下的保证责任亦终止。</w:t>
      </w:r>
    </w:p>
    <w:p>
      <w:pPr>
        <w:pStyle w:val="11"/>
        <w:snapToGrid w:val="0"/>
        <w:spacing w:afterLines="50" w:line="400" w:lineRule="exact"/>
        <w:ind w:firstLine="420"/>
      </w:pPr>
      <w:r>
        <w:rPr>
          <w:rFonts w:hint="eastAsia"/>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pStyle w:val="11"/>
        <w:snapToGrid w:val="0"/>
        <w:spacing w:afterLines="50" w:line="400" w:lineRule="exact"/>
        <w:ind w:firstLine="420"/>
      </w:pPr>
      <w:r>
        <w:rPr>
          <w:rFonts w:hint="eastAsia"/>
        </w:rPr>
        <w:t>五、免责条款</w:t>
      </w:r>
    </w:p>
    <w:p>
      <w:pPr>
        <w:pStyle w:val="11"/>
        <w:snapToGrid w:val="0"/>
        <w:spacing w:afterLines="50" w:line="400" w:lineRule="exact"/>
        <w:ind w:firstLine="420"/>
      </w:pPr>
      <w:r>
        <w:rPr>
          <w:rFonts w:hint="eastAsia"/>
        </w:rPr>
        <w:t>1．因你方违反主合同约定致使供应商不能履行义务的，我方不承担保证责任。</w:t>
      </w:r>
    </w:p>
    <w:p>
      <w:pPr>
        <w:pStyle w:val="11"/>
        <w:snapToGrid w:val="0"/>
        <w:spacing w:afterLines="50" w:line="400" w:lineRule="exact"/>
        <w:ind w:firstLine="420"/>
      </w:pPr>
      <w:r>
        <w:rPr>
          <w:rFonts w:hint="eastAsia"/>
        </w:rPr>
        <w:t>2．依照法律法规的规定或你方与供应商的另行约定，全部或者部分免除供应商应缴纳的保证金义务的，我方亦免除相应的保证责任。</w:t>
      </w:r>
    </w:p>
    <w:p>
      <w:pPr>
        <w:pStyle w:val="11"/>
        <w:snapToGrid w:val="0"/>
        <w:spacing w:afterLines="50" w:line="400" w:lineRule="exact"/>
        <w:ind w:firstLine="420"/>
      </w:pPr>
      <w:r>
        <w:rPr>
          <w:rFonts w:hint="eastAsia"/>
        </w:rPr>
        <w:t>3．因不可抗力造成供应商不能履行供货义务的，我方不承担保证责任。</w:t>
      </w:r>
    </w:p>
    <w:p>
      <w:pPr>
        <w:pStyle w:val="11"/>
        <w:snapToGrid w:val="0"/>
        <w:spacing w:afterLines="50" w:line="400" w:lineRule="exact"/>
        <w:ind w:firstLine="420"/>
      </w:pPr>
      <w:r>
        <w:rPr>
          <w:rFonts w:hint="eastAsia"/>
        </w:rPr>
        <w:t>六、争议的解决</w:t>
      </w:r>
    </w:p>
    <w:p>
      <w:pPr>
        <w:pStyle w:val="11"/>
        <w:snapToGrid w:val="0"/>
        <w:spacing w:afterLines="50" w:line="400" w:lineRule="exact"/>
        <w:ind w:firstLine="420"/>
      </w:pPr>
      <w:r>
        <w:rPr>
          <w:rFonts w:hint="eastAsia"/>
        </w:rPr>
        <w:t>因本保函发生的纠纷，由双方协商解决，协商不成的，通过诉讼程序解决，诉讼管辖地法院为法院。</w:t>
      </w:r>
    </w:p>
    <w:p>
      <w:pPr>
        <w:pStyle w:val="11"/>
        <w:snapToGrid w:val="0"/>
        <w:spacing w:afterLines="50" w:line="400" w:lineRule="exact"/>
        <w:ind w:firstLine="420"/>
      </w:pPr>
      <w:r>
        <w:rPr>
          <w:rFonts w:hint="eastAsia"/>
        </w:rPr>
        <w:t>七、保函的生效</w:t>
      </w:r>
      <w:r>
        <w:rPr>
          <w:rFonts w:hint="eastAsia"/>
        </w:rPr>
        <w:br w:type="page"/>
      </w:r>
      <w:r>
        <w:rPr>
          <w:rFonts w:hint="eastAsia"/>
        </w:rPr>
        <w:t>本保函自我方加盖公章之日起生效。</w:t>
      </w:r>
    </w:p>
    <w:p>
      <w:pPr>
        <w:pStyle w:val="11"/>
        <w:snapToGrid w:val="0"/>
        <w:spacing w:afterLines="50" w:line="400" w:lineRule="exact"/>
      </w:pPr>
      <w:r>
        <w:rPr>
          <w:rFonts w:hint="eastAsia"/>
        </w:rPr>
        <w:t xml:space="preserve">                                                保证人：（公章）</w:t>
      </w:r>
    </w:p>
    <w:p>
      <w:pPr>
        <w:pStyle w:val="11"/>
        <w:snapToGrid w:val="0"/>
        <w:spacing w:afterLines="50" w:line="400" w:lineRule="exact"/>
      </w:pPr>
      <w:r>
        <w:rPr>
          <w:rFonts w:hint="eastAsia"/>
        </w:rPr>
        <w:t xml:space="preserve">                                                   年月日</w:t>
      </w:r>
    </w:p>
    <w:p>
      <w:pPr>
        <w:pStyle w:val="11"/>
        <w:snapToGrid w:val="0"/>
        <w:spacing w:line="400" w:lineRule="exact"/>
      </w:pPr>
    </w:p>
    <w:p>
      <w:pPr>
        <w:spacing w:line="480" w:lineRule="auto"/>
        <w:rPr>
          <w:rFonts w:ascii="宋体" w:hAnsi="宋体"/>
        </w:rPr>
      </w:pPr>
    </w:p>
    <w:p>
      <w:pPr>
        <w:spacing w:beforeLines="50" w:afterLines="100"/>
        <w:rPr>
          <w:rFonts w:ascii="宋体"/>
          <w:b/>
          <w:color w:val="000000"/>
          <w:szCs w:val="21"/>
          <w:lang w:val="en-GB"/>
        </w:rPr>
      </w:pPr>
      <w:r>
        <w:br w:type="page"/>
      </w:r>
      <w:r>
        <w:rPr>
          <w:rFonts w:hint="eastAsia" w:ascii="宋体"/>
          <w:b/>
          <w:color w:val="000000"/>
          <w:szCs w:val="21"/>
          <w:lang w:val="en-GB"/>
        </w:rPr>
        <w:t>附件：</w:t>
      </w:r>
    </w:p>
    <w:p>
      <w:pPr>
        <w:spacing w:beforeLines="50" w:afterLines="100"/>
        <w:jc w:val="center"/>
        <w:rPr>
          <w:rFonts w:hAnsi="宋体" w:asciiTheme="minorHAnsi"/>
          <w:b/>
          <w:color w:val="000000"/>
          <w:spacing w:val="4"/>
          <w:sz w:val="30"/>
          <w:szCs w:val="30"/>
        </w:rPr>
      </w:pPr>
      <w:r>
        <w:rPr>
          <w:rFonts w:hint="eastAsia" w:hAnsi="宋体"/>
          <w:b/>
          <w:color w:val="000000"/>
          <w:spacing w:val="4"/>
          <w:sz w:val="30"/>
          <w:szCs w:val="30"/>
        </w:rPr>
        <w:t>投标保证金退还信息表</w:t>
      </w:r>
    </w:p>
    <w:p>
      <w:pPr>
        <w:spacing w:line="480" w:lineRule="auto"/>
        <w:rPr>
          <w:rFonts w:hAnsi="宋体"/>
          <w:color w:val="000000"/>
          <w:szCs w:val="22"/>
        </w:rPr>
      </w:pPr>
      <w:r>
        <w:rPr>
          <w:rFonts w:hint="eastAsia" w:hAnsi="宋体"/>
          <w:color w:val="000000"/>
          <w:spacing w:val="4"/>
        </w:rPr>
        <w:t>致：</w:t>
      </w:r>
      <w:r>
        <w:rPr>
          <w:rFonts w:hint="eastAsia" w:ascii="宋体" w:hAnsi="宋体"/>
        </w:rPr>
        <w:t>陕西中财招标代理有限公司</w:t>
      </w:r>
    </w:p>
    <w:p>
      <w:pPr>
        <w:spacing w:line="360" w:lineRule="auto"/>
        <w:ind w:firstLine="480"/>
        <w:rPr>
          <w:rFonts w:hAnsi="宋体"/>
          <w:color w:val="000000"/>
        </w:rPr>
      </w:pPr>
    </w:p>
    <w:p>
      <w:pPr>
        <w:spacing w:line="480" w:lineRule="auto"/>
        <w:ind w:firstLine="482"/>
        <w:rPr>
          <w:rFonts w:hAnsi="宋体"/>
          <w:color w:val="000000"/>
        </w:rPr>
      </w:pPr>
      <w:r>
        <w:rPr>
          <w:rFonts w:hint="eastAsia" w:hAnsi="宋体"/>
          <w:color w:val="000000"/>
        </w:rPr>
        <w:t>我单位为项目（项目编号：）提交的保证金</w:t>
      </w:r>
      <w:r>
        <w:rPr>
          <w:rFonts w:hint="eastAsia" w:hAnsi="宋体"/>
          <w:color w:val="000000"/>
          <w:u w:val="single"/>
        </w:rPr>
        <w:t>￥</w:t>
      </w:r>
      <w:r>
        <w:rPr>
          <w:rFonts w:hint="eastAsia" w:hAnsi="宋体"/>
          <w:color w:val="000000"/>
        </w:rPr>
        <w:t>元（大写：），按招标文件规定退还至下列账户：</w:t>
      </w:r>
    </w:p>
    <w:tbl>
      <w:tblPr>
        <w:tblStyle w:val="12"/>
        <w:tblpPr w:leftFromText="180" w:rightFromText="180" w:vertAnchor="page" w:horzAnchor="margin" w:tblpXSpec="center" w:tblpY="7216"/>
        <w:tblW w:w="8796" w:type="dxa"/>
        <w:tblInd w:w="0" w:type="dxa"/>
        <w:tblLayout w:type="fixed"/>
        <w:tblCellMar>
          <w:top w:w="0" w:type="dxa"/>
          <w:left w:w="108" w:type="dxa"/>
          <w:bottom w:w="0" w:type="dxa"/>
          <w:right w:w="108" w:type="dxa"/>
        </w:tblCellMar>
      </w:tblPr>
      <w:tblGrid>
        <w:gridCol w:w="535"/>
        <w:gridCol w:w="1762"/>
        <w:gridCol w:w="2371"/>
        <w:gridCol w:w="1320"/>
        <w:gridCol w:w="2808"/>
      </w:tblGrid>
      <w:tr>
        <w:tblPrEx>
          <w:tblLayout w:type="fixed"/>
          <w:tblCellMar>
            <w:top w:w="0" w:type="dxa"/>
            <w:left w:w="108" w:type="dxa"/>
            <w:bottom w:w="0" w:type="dxa"/>
            <w:right w:w="108" w:type="dxa"/>
          </w:tblCellMar>
        </w:tblPrEx>
        <w:trPr>
          <w:cantSplit/>
          <w:trHeight w:val="669" w:hRule="atLeast"/>
        </w:trPr>
        <w:tc>
          <w:tcPr>
            <w:tcW w:w="53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收款单位</w:t>
            </w:r>
          </w:p>
        </w:tc>
        <w:tc>
          <w:tcPr>
            <w:tcW w:w="1762" w:type="dxa"/>
            <w:tcBorders>
              <w:top w:val="single" w:color="auto" w:sz="4" w:space="0"/>
              <w:left w:val="nil"/>
              <w:bottom w:val="single" w:color="auto"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收款单位名称</w:t>
            </w:r>
          </w:p>
        </w:tc>
        <w:tc>
          <w:tcPr>
            <w:tcW w:w="6499" w:type="dxa"/>
            <w:gridSpan w:val="3"/>
            <w:tcBorders>
              <w:top w:val="single" w:color="auto" w:sz="4" w:space="0"/>
              <w:left w:val="nil"/>
              <w:bottom w:val="single" w:color="auto" w:sz="4" w:space="0"/>
              <w:right w:val="single" w:color="auto" w:sz="4" w:space="0"/>
            </w:tcBorders>
            <w:vAlign w:val="center"/>
          </w:tcPr>
          <w:p>
            <w:pPr>
              <w:rPr>
                <w:rFonts w:hAnsi="宋体" w:cs="宋体" w:asciiTheme="minorHAnsi" w:eastAsiaTheme="minorEastAsia"/>
                <w:color w:val="000000"/>
                <w:szCs w:val="22"/>
              </w:rPr>
            </w:pPr>
          </w:p>
        </w:tc>
      </w:tr>
      <w:tr>
        <w:tblPrEx>
          <w:tblLayout w:type="fixed"/>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asciiTheme="minorHAnsi" w:eastAsiaTheme="minorEastAsia"/>
                <w:color w:val="000000"/>
                <w:szCs w:val="22"/>
              </w:rPr>
            </w:pPr>
          </w:p>
        </w:tc>
        <w:tc>
          <w:tcPr>
            <w:tcW w:w="1762" w:type="dxa"/>
            <w:tcBorders>
              <w:top w:val="nil"/>
              <w:left w:val="nil"/>
              <w:bottom w:val="single" w:color="auto"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账号</w:t>
            </w:r>
          </w:p>
        </w:tc>
        <w:tc>
          <w:tcPr>
            <w:tcW w:w="6499" w:type="dxa"/>
            <w:gridSpan w:val="3"/>
            <w:tcBorders>
              <w:top w:val="single" w:color="auto" w:sz="4" w:space="0"/>
              <w:left w:val="nil"/>
              <w:bottom w:val="single" w:color="auto" w:sz="4" w:space="0"/>
              <w:right w:val="single" w:color="auto" w:sz="4" w:space="0"/>
            </w:tcBorders>
            <w:vAlign w:val="center"/>
          </w:tcPr>
          <w:p>
            <w:pPr>
              <w:rPr>
                <w:rFonts w:hAnsi="宋体" w:cs="宋体" w:asciiTheme="minorHAnsi" w:eastAsiaTheme="minorEastAsia"/>
                <w:color w:val="000000"/>
                <w:szCs w:val="22"/>
              </w:rPr>
            </w:pPr>
          </w:p>
        </w:tc>
      </w:tr>
      <w:tr>
        <w:tblPrEx>
          <w:tblLayout w:type="fixed"/>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asciiTheme="minorHAnsi" w:eastAsiaTheme="minorEastAsia"/>
                <w:color w:val="000000"/>
                <w:szCs w:val="22"/>
              </w:rPr>
            </w:pPr>
          </w:p>
        </w:tc>
        <w:tc>
          <w:tcPr>
            <w:tcW w:w="1762" w:type="dxa"/>
            <w:tcBorders>
              <w:top w:val="nil"/>
              <w:left w:val="nil"/>
              <w:bottom w:val="single" w:color="auto"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开户银行</w:t>
            </w:r>
          </w:p>
        </w:tc>
        <w:tc>
          <w:tcPr>
            <w:tcW w:w="6499" w:type="dxa"/>
            <w:gridSpan w:val="3"/>
            <w:tcBorders>
              <w:top w:val="single" w:color="auto" w:sz="4" w:space="0"/>
              <w:left w:val="nil"/>
              <w:bottom w:val="single" w:color="auto" w:sz="4" w:space="0"/>
              <w:right w:val="single" w:color="auto" w:sz="4" w:space="0"/>
            </w:tcBorders>
            <w:vAlign w:val="center"/>
          </w:tcPr>
          <w:p>
            <w:pPr>
              <w:rPr>
                <w:rFonts w:hAnsi="宋体" w:cs="宋体" w:asciiTheme="minorHAnsi" w:eastAsiaTheme="minorEastAsia"/>
                <w:color w:val="000000"/>
                <w:szCs w:val="22"/>
              </w:rPr>
            </w:pPr>
          </w:p>
        </w:tc>
      </w:tr>
      <w:tr>
        <w:tblPrEx>
          <w:tblLayout w:type="fixed"/>
          <w:tblCellMar>
            <w:top w:w="0" w:type="dxa"/>
            <w:left w:w="108" w:type="dxa"/>
            <w:bottom w:w="0" w:type="dxa"/>
            <w:right w:w="108" w:type="dxa"/>
          </w:tblCellMar>
        </w:tblPrEx>
        <w:trPr>
          <w:cantSplit/>
          <w:trHeight w:val="726"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asciiTheme="minorHAnsi" w:eastAsiaTheme="minorEastAsia"/>
                <w:color w:val="000000"/>
                <w:szCs w:val="22"/>
              </w:rPr>
            </w:pPr>
          </w:p>
        </w:tc>
        <w:tc>
          <w:tcPr>
            <w:tcW w:w="1762" w:type="dxa"/>
            <w:tcBorders>
              <w:top w:val="nil"/>
              <w:left w:val="nil"/>
              <w:bottom w:val="single" w:color="auto"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开户银行行号</w:t>
            </w:r>
          </w:p>
        </w:tc>
        <w:tc>
          <w:tcPr>
            <w:tcW w:w="6499" w:type="dxa"/>
            <w:gridSpan w:val="3"/>
            <w:tcBorders>
              <w:top w:val="single" w:color="auto" w:sz="4" w:space="0"/>
              <w:left w:val="nil"/>
              <w:bottom w:val="single" w:color="auto" w:sz="4" w:space="0"/>
              <w:right w:val="single" w:color="auto" w:sz="4" w:space="0"/>
            </w:tcBorders>
            <w:vAlign w:val="center"/>
          </w:tcPr>
          <w:p>
            <w:pPr>
              <w:rPr>
                <w:rFonts w:hAnsi="宋体" w:cs="Arial" w:asciiTheme="minorHAnsi" w:eastAsiaTheme="minorEastAsia"/>
                <w:color w:val="000000"/>
                <w:szCs w:val="22"/>
              </w:rPr>
            </w:pPr>
          </w:p>
        </w:tc>
      </w:tr>
      <w:tr>
        <w:tblPrEx>
          <w:tblLayout w:type="fixed"/>
          <w:tblCellMar>
            <w:top w:w="0" w:type="dxa"/>
            <w:left w:w="108" w:type="dxa"/>
            <w:bottom w:w="0" w:type="dxa"/>
            <w:right w:w="108" w:type="dxa"/>
          </w:tblCellMar>
        </w:tblPrEx>
        <w:trPr>
          <w:trHeight w:val="770"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asciiTheme="minorHAnsi" w:eastAsiaTheme="minorEastAsia"/>
                <w:color w:val="000000"/>
                <w:szCs w:val="22"/>
              </w:rPr>
            </w:pPr>
          </w:p>
        </w:tc>
        <w:tc>
          <w:tcPr>
            <w:tcW w:w="1762" w:type="dxa"/>
            <w:tcBorders>
              <w:top w:val="single" w:color="auto" w:sz="4" w:space="0"/>
              <w:left w:val="nil"/>
              <w:bottom w:val="single" w:color="auto" w:sz="4" w:space="0"/>
              <w:right w:val="single" w:color="auto" w:sz="4" w:space="0"/>
            </w:tcBorders>
            <w:vAlign w:val="center"/>
          </w:tcPr>
          <w:p>
            <w:pPr>
              <w:jc w:val="center"/>
              <w:rPr>
                <w:rFonts w:hAnsi="宋体" w:cs="宋体" w:asciiTheme="minorHAnsi" w:eastAsiaTheme="minorEastAsia"/>
                <w:color w:val="000000"/>
                <w:szCs w:val="22"/>
              </w:rPr>
            </w:pPr>
            <w:r>
              <w:rPr>
                <w:rFonts w:hint="eastAsia" w:hAnsi="宋体" w:cs="宋体"/>
                <w:color w:val="000000"/>
              </w:rPr>
              <w:t>联系人</w:t>
            </w:r>
          </w:p>
        </w:tc>
        <w:tc>
          <w:tcPr>
            <w:tcW w:w="2371" w:type="dxa"/>
            <w:tcBorders>
              <w:top w:val="single" w:color="auto" w:sz="4" w:space="0"/>
              <w:left w:val="nil"/>
              <w:bottom w:val="single" w:color="auto" w:sz="4" w:space="0"/>
              <w:right w:val="single" w:color="auto" w:sz="4" w:space="0"/>
            </w:tcBorders>
            <w:vAlign w:val="center"/>
          </w:tcPr>
          <w:p>
            <w:pPr>
              <w:rPr>
                <w:rFonts w:hAnsi="宋体" w:cs="宋体" w:asciiTheme="minorHAnsi" w:eastAsiaTheme="minorEastAsia"/>
                <w:color w:val="000000"/>
                <w:szCs w:val="22"/>
              </w:rPr>
            </w:pPr>
          </w:p>
        </w:tc>
        <w:tc>
          <w:tcPr>
            <w:tcW w:w="1320" w:type="dxa"/>
            <w:tcBorders>
              <w:top w:val="single" w:color="auto" w:sz="4" w:space="0"/>
              <w:left w:val="nil"/>
              <w:bottom w:val="single" w:color="auto" w:sz="4" w:space="0"/>
              <w:right w:val="single" w:color="auto" w:sz="4" w:space="0"/>
            </w:tcBorders>
            <w:vAlign w:val="center"/>
          </w:tcPr>
          <w:p>
            <w:pPr>
              <w:rPr>
                <w:rFonts w:hAnsi="宋体" w:cs="宋体" w:asciiTheme="minorHAnsi" w:eastAsiaTheme="minorEastAsia"/>
                <w:color w:val="000000"/>
                <w:szCs w:val="22"/>
              </w:rPr>
            </w:pPr>
            <w:r>
              <w:rPr>
                <w:rFonts w:hint="eastAsia" w:hAnsi="宋体" w:cs="宋体"/>
                <w:color w:val="000000"/>
              </w:rPr>
              <w:t>联系电话</w:t>
            </w:r>
          </w:p>
        </w:tc>
        <w:tc>
          <w:tcPr>
            <w:tcW w:w="2808" w:type="dxa"/>
            <w:tcBorders>
              <w:top w:val="single" w:color="auto" w:sz="4" w:space="0"/>
              <w:left w:val="nil"/>
              <w:bottom w:val="single" w:color="auto" w:sz="4" w:space="0"/>
              <w:right w:val="single" w:color="auto" w:sz="4" w:space="0"/>
            </w:tcBorders>
            <w:vAlign w:val="center"/>
          </w:tcPr>
          <w:p>
            <w:pPr>
              <w:rPr>
                <w:rFonts w:hAnsi="宋体" w:cs="Arial" w:asciiTheme="minorHAnsi" w:eastAsiaTheme="minorEastAsia"/>
                <w:color w:val="000000"/>
                <w:szCs w:val="22"/>
              </w:rPr>
            </w:pPr>
          </w:p>
        </w:tc>
      </w:tr>
    </w:tbl>
    <w:p>
      <w:pPr>
        <w:tabs>
          <w:tab w:val="left" w:pos="676"/>
          <w:tab w:val="left" w:pos="2330"/>
          <w:tab w:val="left" w:pos="9230"/>
        </w:tabs>
        <w:spacing w:line="480" w:lineRule="exact"/>
        <w:rPr>
          <w:rFonts w:hAnsi="宋体" w:asciiTheme="minorHAnsi" w:eastAsiaTheme="minorEastAsia" w:cstheme="minorBidi"/>
          <w:b/>
          <w:color w:val="000000"/>
          <w:szCs w:val="22"/>
        </w:rPr>
      </w:pPr>
    </w:p>
    <w:p>
      <w:pPr>
        <w:spacing w:beforeLines="50" w:afterLines="100"/>
        <w:ind w:firstLine="482" w:firstLineChars="200"/>
        <w:rPr>
          <w:rFonts w:ascii="宋体" w:hAnsi="宋体"/>
          <w:b/>
        </w:rPr>
      </w:pPr>
      <w:r>
        <w:rPr>
          <w:rFonts w:hint="eastAsia" w:hAnsi="宋体"/>
          <w:b/>
          <w:color w:val="000000"/>
        </w:rPr>
        <w:t>备注：</w:t>
      </w:r>
      <w:r>
        <w:rPr>
          <w:rFonts w:hint="eastAsia" w:ascii="宋体" w:hAnsi="宋体"/>
          <w:b/>
        </w:rPr>
        <w:t>各投标单位请正确填写《投标保证金退还信息表》装订在投标文件（正、副本）最后一页，并单独提供一份与投标文件一并递交，招标结束后，将根据所提供信息退还各投标单位保证金。</w:t>
      </w:r>
    </w:p>
    <w:p>
      <w:pPr>
        <w:tabs>
          <w:tab w:val="left" w:pos="676"/>
          <w:tab w:val="left" w:pos="2330"/>
          <w:tab w:val="left" w:pos="9230"/>
        </w:tabs>
        <w:spacing w:line="480" w:lineRule="exact"/>
        <w:ind w:firstLine="120" w:firstLineChars="50"/>
        <w:rPr>
          <w:rFonts w:ascii="宋体" w:hAnsi="宋体"/>
          <w:b/>
        </w:rPr>
      </w:pPr>
    </w:p>
    <w:p>
      <w:pPr>
        <w:tabs>
          <w:tab w:val="left" w:pos="676"/>
          <w:tab w:val="left" w:pos="2330"/>
          <w:tab w:val="left" w:pos="9230"/>
        </w:tabs>
        <w:spacing w:line="480" w:lineRule="exact"/>
        <w:ind w:firstLine="3412" w:firstLineChars="1416"/>
        <w:rPr>
          <w:rFonts w:ascii="宋体" w:hAnsi="宋体"/>
          <w:b/>
        </w:rPr>
      </w:pPr>
    </w:p>
    <w:p>
      <w:pPr>
        <w:tabs>
          <w:tab w:val="left" w:pos="676"/>
          <w:tab w:val="left" w:pos="2330"/>
          <w:tab w:val="left" w:pos="9230"/>
        </w:tabs>
        <w:spacing w:line="480" w:lineRule="exact"/>
        <w:ind w:firstLine="3398" w:firstLineChars="1416"/>
        <w:rPr>
          <w:rFonts w:hAnsi="宋体" w:asciiTheme="minorHAnsi"/>
          <w:color w:val="000000"/>
          <w:u w:val="single"/>
        </w:rPr>
      </w:pPr>
      <w:r>
        <w:rPr>
          <w:rFonts w:hint="eastAsia" w:hAnsi="宋体"/>
          <w:color w:val="000000"/>
        </w:rPr>
        <w:t>投标单位名称（公章）：</w:t>
      </w:r>
    </w:p>
    <w:p>
      <w:pPr>
        <w:pStyle w:val="6"/>
        <w:spacing w:line="480" w:lineRule="exact"/>
        <w:ind w:firstLine="3398" w:firstLineChars="1416"/>
        <w:rPr>
          <w:rFonts w:hAnsi="Times New Roman"/>
          <w:color w:val="000000"/>
          <w:sz w:val="24"/>
          <w:szCs w:val="24"/>
        </w:rPr>
      </w:pPr>
    </w:p>
    <w:p>
      <w:pPr>
        <w:pStyle w:val="6"/>
        <w:spacing w:line="480" w:lineRule="exact"/>
        <w:ind w:firstLine="3398" w:firstLineChars="1416"/>
        <w:rPr>
          <w:rFonts w:hAnsi="宋体"/>
          <w:color w:val="000000"/>
          <w:sz w:val="24"/>
          <w:szCs w:val="24"/>
          <w:u w:val="single"/>
        </w:rPr>
      </w:pPr>
      <w:r>
        <w:rPr>
          <w:rFonts w:hint="eastAsia"/>
          <w:color w:val="000000"/>
          <w:sz w:val="24"/>
          <w:szCs w:val="24"/>
        </w:rPr>
        <w:t>日      期：</w:t>
      </w:r>
    </w:p>
    <w:p>
      <w:pPr>
        <w:spacing w:line="460" w:lineRule="exact"/>
        <w:ind w:firstLine="562" w:firstLineChars="200"/>
        <w:rPr>
          <w:rFonts w:ascii="宋体" w:hAnsi="宋体"/>
          <w:b/>
          <w:szCs w:val="22"/>
        </w:rPr>
      </w:pPr>
      <w:r>
        <w:rPr>
          <w:rFonts w:hint="eastAsia" w:ascii="宋体" w:hAnsi="宋体"/>
          <w:b/>
          <w:sz w:val="28"/>
          <w:szCs w:val="28"/>
        </w:rPr>
        <w:br w:type="page"/>
      </w:r>
      <w:r>
        <w:rPr>
          <w:rFonts w:hint="eastAsia" w:ascii="宋体" w:hAnsi="宋体"/>
          <w:b/>
        </w:rPr>
        <w:t>投标文件封袋正面标识式样</w:t>
      </w:r>
    </w:p>
    <w:p>
      <w:pPr>
        <w:spacing w:line="460" w:lineRule="exact"/>
        <w:ind w:firstLine="420" w:firstLineChars="200"/>
        <w:rPr>
          <w:rFonts w:ascii="宋体" w:hAnsi="宋体"/>
          <w:b/>
        </w:rPr>
      </w:pPr>
      <w:r>
        <w:rPr>
          <w:rFonts w:asciiTheme="minorHAnsi" w:hAnsiTheme="minorHAnsi"/>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239770"/>
                <wp:effectExtent l="4445" t="4445" r="14605" b="13335"/>
                <wp:wrapNone/>
                <wp:docPr id="17" name="文本框 17"/>
                <wp:cNvGraphicFramePr/>
                <a:graphic xmlns:a="http://schemas.openxmlformats.org/drawingml/2006/main">
                  <a:graphicData uri="http://schemas.microsoft.com/office/word/2010/wordprocessingShape">
                    <wps:wsp>
                      <wps:cNvSpPr txBox="1"/>
                      <wps:spPr>
                        <a:xfrm>
                          <a:off x="0" y="0"/>
                          <a:ext cx="5791200" cy="3239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致：陕西中财招标代理有限公司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投标文件（正本/副本/资格证明原件）</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投标单位名称：</w:t>
                            </w:r>
                            <w:r>
                              <w:rPr>
                                <w:sz w:val="28"/>
                                <w:szCs w:val="28"/>
                              </w:rPr>
                              <w:t xml:space="preserve">            </w:t>
                            </w:r>
                            <w:r>
                              <w:rPr>
                                <w:rFonts w:hint="eastAsia"/>
                                <w:sz w:val="28"/>
                                <w:szCs w:val="28"/>
                              </w:rPr>
                              <w:t>（公章）</w:t>
                            </w:r>
                          </w:p>
                          <w:p>
                            <w:pPr>
                              <w:rPr>
                                <w:sz w:val="28"/>
                                <w:szCs w:val="28"/>
                              </w:rPr>
                            </w:pPr>
                          </w:p>
                        </w:txbxContent>
                      </wps:txbx>
                      <wps:bodyPr upright="1"/>
                    </wps:wsp>
                  </a:graphicData>
                </a:graphic>
              </wp:anchor>
            </w:drawing>
          </mc:Choice>
          <mc:Fallback>
            <w:pict>
              <v:shape id="_x0000_s1026" o:spid="_x0000_s1026" o:spt="202" type="#_x0000_t202" style="position:absolute;left:0pt;margin-left:0pt;margin-top:9.6pt;height:255.1pt;width:456pt;z-index:251659264;mso-width-relative:page;mso-height-relative:page;" fillcolor="#FFFFFF" filled="t" stroked="t" coordsize="21600,21600" o:gfxdata="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pSqCNYAAAAHAQAADwAAAAAAAAABACAAAAAiAAAAZHJzL2Rvd25yZXYueG1s&#10;UEsBAhQAFAAAAAgAh07iQAeEpzf6AQAA+QMAAA4AAAAAAAAAAQAgAAAAJQEAAGRycy9lMm9Eb2Mu&#10;eG1sUEsFBgAAAAAGAAYAWQEAAJEFAAAAAA==&#10;">
                <v:fill on="t" focussize="0,0"/>
                <v:stroke color="#000000" joinstyle="miter"/>
                <v:imagedata o:title=""/>
                <o:lock v:ext="edit" aspectratio="f"/>
                <v:textbox>
                  <w:txbxContent>
                    <w:p>
                      <w:pPr>
                        <w:rPr>
                          <w:sz w:val="28"/>
                          <w:szCs w:val="28"/>
                        </w:rPr>
                      </w:pPr>
                      <w:r>
                        <w:rPr>
                          <w:rFonts w:hint="eastAsia"/>
                          <w:sz w:val="28"/>
                          <w:szCs w:val="28"/>
                        </w:rPr>
                        <w:t>致：陕西中财招标代理有限公司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投标文件（正本/副本/资格证明原件）</w:t>
                      </w:r>
                    </w:p>
                    <w:p>
                      <w:pPr>
                        <w:jc w:val="center"/>
                        <w:rPr>
                          <w:sz w:val="28"/>
                          <w:szCs w:val="28"/>
                        </w:rPr>
                      </w:pPr>
                      <w:r>
                        <w:rPr>
                          <w:rFonts w:hint="eastAsia"/>
                          <w:sz w:val="28"/>
                          <w:szCs w:val="28"/>
                        </w:rPr>
                        <w:t>（非招标大会不得启封）</w:t>
                      </w:r>
                    </w:p>
                    <w:p>
                      <w:pPr>
                        <w:rPr>
                          <w:sz w:val="28"/>
                          <w:szCs w:val="28"/>
                        </w:rPr>
                      </w:pPr>
                    </w:p>
                    <w:p>
                      <w:pPr>
                        <w:rPr>
                          <w:sz w:val="28"/>
                          <w:szCs w:val="28"/>
                        </w:rPr>
                      </w:pPr>
                      <w:r>
                        <w:rPr>
                          <w:rFonts w:hint="eastAsia"/>
                          <w:sz w:val="28"/>
                          <w:szCs w:val="28"/>
                        </w:rPr>
                        <w:t>投标单位名称：</w:t>
                      </w:r>
                      <w:r>
                        <w:rPr>
                          <w:sz w:val="28"/>
                          <w:szCs w:val="28"/>
                        </w:rPr>
                        <w:t xml:space="preserve">            </w:t>
                      </w:r>
                      <w:r>
                        <w:rPr>
                          <w:rFonts w:hint="eastAsia"/>
                          <w:sz w:val="28"/>
                          <w:szCs w:val="28"/>
                        </w:rPr>
                        <w:t>（公章）</w:t>
                      </w:r>
                    </w:p>
                    <w:p>
                      <w:pPr>
                        <w:rPr>
                          <w:sz w:val="28"/>
                          <w:szCs w:val="28"/>
                        </w:rPr>
                      </w:pPr>
                    </w:p>
                  </w:txbxContent>
                </v:textbox>
              </v:shape>
            </w:pict>
          </mc:Fallback>
        </mc:AlternateContent>
      </w:r>
    </w:p>
    <w:p>
      <w:pPr>
        <w:spacing w:line="460" w:lineRule="exact"/>
        <w:ind w:firstLine="482" w:firstLineChars="200"/>
        <w:rPr>
          <w:rFonts w:ascii="宋体" w:hAnsi="宋体"/>
          <w:b/>
        </w:rPr>
      </w:pPr>
    </w:p>
    <w:p>
      <w:pPr>
        <w:spacing w:line="460" w:lineRule="exact"/>
        <w:ind w:firstLine="482" w:firstLineChars="200"/>
        <w:rPr>
          <w:rFonts w:ascii="宋体" w:hAnsi="宋体"/>
          <w:b/>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pPr>
        <w:spacing w:line="360" w:lineRule="atLeast"/>
        <w:ind w:firstLine="2108" w:firstLineChars="500"/>
        <w:rPr>
          <w:rFonts w:ascii="宋体" w:hAnsi="宋体"/>
          <w:b/>
          <w:sz w:val="42"/>
          <w:szCs w:val="42"/>
        </w:rPr>
      </w:pPr>
    </w:p>
    <w:p/>
    <w:sectPr>
      <w:headerReference r:id="rId14" w:type="first"/>
      <w:footerReference r:id="rId16" w:type="first"/>
      <w:headerReference r:id="rId13" w:type="default"/>
      <w:footerReference r:id="rId15" w:type="default"/>
      <w:pgSz w:w="11907" w:h="16840"/>
      <w:pgMar w:top="1417" w:right="1287" w:bottom="1712" w:left="1054" w:header="935" w:footer="771" w:gutter="567"/>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60"/>
      <w:rPr>
        <w:sz w:val="20"/>
      </w:rPr>
    </w:pPr>
    <w:r>
      <w:rPr>
        <w:rFonts w:hint="eastAsi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60"/>
      <w:rPr>
        <w:sz w:val="20"/>
      </w:rPr>
    </w:pPr>
    <w:r>
      <w:rPr>
        <w:sz w:val="20"/>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r>
      <w:rPr>
        <w:rFonts w:hint="eastAsia"/>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60"/>
      <w:rPr>
        <w:sz w:val="20"/>
      </w:rPr>
    </w:pPr>
    <w:r>
      <w:rPr>
        <w:sz w:val="20"/>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r>
      <w:rPr>
        <w:rFonts w:hint="eastAsia"/>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b/>
      </w:rPr>
    </w:pPr>
    <w: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Fonts w:ascii="宋体" w:hAnsi="宋体"/>
        <w:b/>
      </w:rPr>
    </w:pPr>
    <w: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r>
      <w:rPr>
        <w:rFonts w:ascii="宋体" w:hAnsi="宋体"/>
        <w: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-38100</wp:posOffset>
              </wp:positionV>
              <wp:extent cx="57435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43575" cy="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75pt;margin-top:-3pt;height:0pt;width:452.25pt;z-index:251662336;mso-width-relative:page;mso-height-relative:page;" filled="f" stroked="t" coordsize="21600,21600" o:gfxdata="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SS/nPTAAAABwEA&#10;AA8AAAAAAAAAAQAgAAAAIgAAAGRycy9kb3ducmV2LnhtbFBLAQIUABQAAAAIAIdO4kCkNdqF5gEA&#10;AKwDAAAOAAAAAAAAAAEAIAAAACIBAABkcnMvZTJvRG9jLnhtbFBLBQYAAAAABgAGAFkBAAB6BQAA&#10;AAA=&#10;">
              <v:fill on="f" focussize="0,0"/>
              <v:stroke weight="0.25pt" color="#000000" joinstyle="round"/>
              <v:imagedata o:title=""/>
              <o:lock v:ext="edit" aspectratio="f"/>
            </v:shape>
          </w:pict>
        </mc:Fallback>
      </mc:AlternateContent>
    </w:r>
    <w:r>
      <w:rPr>
        <w:rFonts w:hint="eastAsia" w:ascii="宋体" w:hAnsi="宋体"/>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仿宋_GB2312" w:eastAsia="仿宋_GB2312"/>
        <w:sz w:val="18"/>
        <w:szCs w:val="18"/>
      </w:rPr>
    </w:pPr>
    <w:r>
      <w:rPr>
        <w:rFonts w:hint="eastAsia" w:ascii="宋体" w:hAnsi="宋体"/>
        <w:b/>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FF1A"/>
    <w:multiLevelType w:val="singleLevel"/>
    <w:tmpl w:val="9979FF1A"/>
    <w:lvl w:ilvl="0" w:tentative="0">
      <w:start w:val="1"/>
      <w:numFmt w:val="chineseCounting"/>
      <w:suff w:val="nothing"/>
      <w:lvlText w:val="%1、"/>
      <w:lvlJc w:val="left"/>
      <w:rPr>
        <w:rFonts w:hint="eastAsia"/>
      </w:rPr>
    </w:lvl>
  </w:abstractNum>
  <w:abstractNum w:abstractNumId="1">
    <w:nsid w:val="D46F0604"/>
    <w:multiLevelType w:val="singleLevel"/>
    <w:tmpl w:val="D46F0604"/>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B46CC"/>
    <w:rsid w:val="0017345E"/>
    <w:rsid w:val="002051BC"/>
    <w:rsid w:val="003E049C"/>
    <w:rsid w:val="0079348A"/>
    <w:rsid w:val="008D7ECF"/>
    <w:rsid w:val="00CB5C00"/>
    <w:rsid w:val="00DC3C55"/>
    <w:rsid w:val="00E805DF"/>
    <w:rsid w:val="00F16151"/>
    <w:rsid w:val="07154F12"/>
    <w:rsid w:val="15A203CD"/>
    <w:rsid w:val="1A3B38FB"/>
    <w:rsid w:val="26FA7039"/>
    <w:rsid w:val="471B46CC"/>
    <w:rsid w:val="51725A76"/>
    <w:rsid w:val="60EA5938"/>
    <w:rsid w:val="760829F0"/>
    <w:rsid w:val="7DAC7F8A"/>
    <w:rsid w:val="7DB7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21"/>
    <w:qFormat/>
    <w:uiPriority w:val="0"/>
    <w:pPr>
      <w:keepNext/>
      <w:keepLines/>
      <w:spacing w:before="340" w:after="330" w:line="560" w:lineRule="exact"/>
      <w:jc w:val="center"/>
      <w:outlineLvl w:val="0"/>
    </w:pPr>
    <w:rPr>
      <w:b/>
      <w:bCs/>
      <w:kern w:val="44"/>
      <w:sz w:val="36"/>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5">
    <w:name w:val="Body Text"/>
    <w:basedOn w:val="1"/>
    <w:qFormat/>
    <w:uiPriority w:val="0"/>
    <w:pPr>
      <w:spacing w:after="120"/>
    </w:pPr>
    <w:rPr>
      <w:sz w:val="21"/>
      <w:szCs w:val="24"/>
    </w:rPr>
  </w:style>
  <w:style w:type="paragraph" w:styleId="6">
    <w:name w:val="Plain Text"/>
    <w:basedOn w:val="1"/>
    <w:unhideWhenUsed/>
    <w:qFormat/>
    <w:uiPriority w:val="0"/>
    <w:rPr>
      <w:rFonts w:ascii="宋体" w:hAnsi="Courier New" w:cstheme="minorBidi"/>
      <w:sz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sz w:val="21"/>
      <w:szCs w:val="24"/>
    </w:rPr>
  </w:style>
  <w:style w:type="paragraph" w:styleId="10">
    <w:name w:val="toc 2"/>
    <w:basedOn w:val="1"/>
    <w:next w:val="1"/>
    <w:qFormat/>
    <w:uiPriority w:val="39"/>
    <w:pPr>
      <w:ind w:left="420" w:leftChars="200"/>
    </w:pPr>
    <w:rPr>
      <w:sz w:val="21"/>
      <w:szCs w:val="24"/>
    </w:rPr>
  </w:style>
  <w:style w:type="paragraph" w:styleId="11">
    <w:name w:val="Normal (Web)"/>
    <w:basedOn w:val="1"/>
    <w:qFormat/>
    <w:uiPriority w:val="0"/>
    <w:rPr>
      <w:szCs w:val="24"/>
    </w:rPr>
  </w:style>
  <w:style w:type="character" w:styleId="14">
    <w:name w:val="page number"/>
    <w:basedOn w:val="13"/>
    <w:qFormat/>
    <w:uiPriority w:val="0"/>
  </w:style>
  <w:style w:type="paragraph" w:customStyle="1" w:styleId="15">
    <w:name w:val="_Style 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7">
    <w:name w:val="p15"/>
    <w:basedOn w:val="1"/>
    <w:qFormat/>
    <w:uiPriority w:val="99"/>
    <w:pPr>
      <w:widowControl/>
    </w:pPr>
    <w:rPr>
      <w:kern w:val="0"/>
      <w:sz w:val="21"/>
      <w:szCs w:val="21"/>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rPr>
      <w:szCs w:val="21"/>
    </w:rPr>
  </w:style>
  <w:style w:type="character" w:customStyle="1" w:styleId="20">
    <w:name w:val="标题 2 Char Char"/>
    <w:qFormat/>
    <w:uiPriority w:val="0"/>
    <w:rPr>
      <w:rFonts w:hint="default" w:ascii="Arial" w:hAnsi="Arial" w:eastAsia="宋体" w:cs="Arial"/>
      <w:b/>
      <w:kern w:val="2"/>
      <w:sz w:val="30"/>
      <w:lang w:val="en-US" w:eastAsia="zh-CN" w:bidi="ar-SA"/>
    </w:rPr>
  </w:style>
  <w:style w:type="character" w:customStyle="1" w:styleId="21">
    <w:name w:val="标题 1 Char"/>
    <w:basedOn w:val="13"/>
    <w:link w:val="3"/>
    <w:qFormat/>
    <w:uiPriority w:val="0"/>
    <w:rPr>
      <w:b/>
      <w:bCs/>
      <w:kern w:val="44"/>
      <w:sz w:val="36"/>
      <w:szCs w:val="44"/>
    </w:rPr>
  </w:style>
  <w:style w:type="paragraph" w:customStyle="1" w:styleId="22">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23">
    <w:name w:val="p1"/>
    <w:basedOn w:val="1"/>
    <w:qFormat/>
    <w:uiPriority w:val="0"/>
    <w:pPr>
      <w:widowControl/>
    </w:pPr>
    <w:rPr>
      <w:rFonts w:ascii="Lucida Grande" w:hAnsi="Lucida Grande" w:cs="Lucida Grande"/>
      <w:color w:val="323333"/>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5899</Words>
  <Characters>33625</Characters>
  <Lines>280</Lines>
  <Paragraphs>78</Paragraphs>
  <TotalTime>37</TotalTime>
  <ScaleCrop>false</ScaleCrop>
  <LinksUpToDate>false</LinksUpToDate>
  <CharactersWithSpaces>39446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2019-05-27T03:00:00Z</dcterms:created>
  <dc:creator>吃猫的鱼</dc:creator>
  <cp:lastModifiedBy>吃猫的鱼</cp:lastModifiedBy>
  <dcterms:modified xsi:type="dcterms:W3CDTF">2019-06-13T01:27:51Z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